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Ex2.xml" ContentType="application/vnd.ms-office.chartex+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1F05F" w14:textId="77777777" w:rsidR="00C43D04" w:rsidRPr="00E73989" w:rsidRDefault="007B19B8" w:rsidP="00217D79">
      <w:pPr>
        <w:spacing w:after="0"/>
        <w:rPr>
          <w:rFonts w:ascii="Helvetica" w:hAnsi="Helvetica" w:cs="Helvetica"/>
          <w:b/>
          <w:sz w:val="18"/>
          <w:szCs w:val="18"/>
          <w:u w:val="single"/>
        </w:rPr>
      </w:pPr>
      <w:r w:rsidRPr="00E73989">
        <w:rPr>
          <w:rFonts w:ascii="Helvetica" w:hAnsi="Helvetica" w:cs="Helvetica"/>
          <w:noProof/>
          <w:sz w:val="18"/>
          <w:szCs w:val="18"/>
        </w:rPr>
        <w:drawing>
          <wp:anchor distT="0" distB="0" distL="114300" distR="114300" simplePos="0" relativeHeight="251753472" behindDoc="1" locked="0" layoutInCell="1" allowOverlap="1" wp14:anchorId="2FB1172E" wp14:editId="55796BE8">
            <wp:simplePos x="0" y="0"/>
            <wp:positionH relativeFrom="page">
              <wp:posOffset>-160020</wp:posOffset>
            </wp:positionH>
            <wp:positionV relativeFrom="page">
              <wp:posOffset>-62865</wp:posOffset>
            </wp:positionV>
            <wp:extent cx="7572375" cy="10708005"/>
            <wp:effectExtent l="0" t="0" r="9525" b="0"/>
            <wp:wrapNone/>
            <wp:docPr id="17" name="Picture 17" descr="Y:\WESGRO IQ INTERNAL DRIVE\WESGRO IQ RESEARCH\IQ - TEMPLATES\Fact Sheet Templates\New Templates\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ESGRO IQ INTERNAL DRIVE\WESGRO IQ RESEARCH\IQ - TEMPLATES\Fact Sheet Templates\New Templates\countr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375" cy="1070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5CD" w:rsidRPr="00E73989">
        <w:rPr>
          <w:rFonts w:ascii="Helvetica" w:hAnsi="Helvetica" w:cs="Helvetica"/>
          <w:b/>
          <w:noProof/>
          <w:sz w:val="18"/>
          <w:szCs w:val="18"/>
          <w:u w:val="single"/>
        </w:rPr>
        <w:t xml:space="preserve"> </w:t>
      </w:r>
    </w:p>
    <w:p w14:paraId="154F2922" w14:textId="77777777" w:rsidR="00C43D04" w:rsidRPr="00E73989" w:rsidRDefault="00C43D04" w:rsidP="00217D79">
      <w:pPr>
        <w:spacing w:after="0"/>
        <w:rPr>
          <w:rFonts w:ascii="Helvetica" w:hAnsi="Helvetica" w:cs="Helvetica"/>
          <w:bCs/>
          <w:sz w:val="18"/>
          <w:szCs w:val="18"/>
        </w:rPr>
      </w:pPr>
    </w:p>
    <w:p w14:paraId="18E9AECF" w14:textId="77777777" w:rsidR="004D1ED9" w:rsidRPr="00E73989" w:rsidRDefault="004D1ED9" w:rsidP="00217D79">
      <w:pPr>
        <w:autoSpaceDE w:val="0"/>
        <w:autoSpaceDN w:val="0"/>
        <w:adjustRightInd w:val="0"/>
        <w:spacing w:after="0"/>
        <w:jc w:val="both"/>
        <w:rPr>
          <w:rFonts w:ascii="Helvetica" w:hAnsi="Helvetica" w:cs="Helvetica"/>
          <w:sz w:val="18"/>
          <w:szCs w:val="18"/>
        </w:rPr>
      </w:pPr>
    </w:p>
    <w:p w14:paraId="57E3EA2E" w14:textId="6FDF7C2F" w:rsidR="00630AC9" w:rsidRPr="00E73989" w:rsidRDefault="002B2916" w:rsidP="00217D79">
      <w:pPr>
        <w:tabs>
          <w:tab w:val="left" w:pos="4935"/>
        </w:tabs>
        <w:spacing w:after="0"/>
        <w:ind w:left="-392"/>
        <w:rPr>
          <w:rFonts w:ascii="Helvetica" w:hAnsi="Helvetica" w:cs="Helvetica"/>
          <w:sz w:val="44"/>
          <w:szCs w:val="48"/>
        </w:rPr>
      </w:pPr>
      <w:r>
        <w:rPr>
          <w:rFonts w:ascii="Helvetica" w:hAnsi="Helvetica" w:cs="Helvetica"/>
          <w:sz w:val="44"/>
          <w:szCs w:val="48"/>
        </w:rPr>
        <w:t>Ghana</w:t>
      </w:r>
      <w:r w:rsidR="00FB5FD9" w:rsidRPr="00E73989">
        <w:rPr>
          <w:rFonts w:ascii="Helvetica" w:hAnsi="Helvetica" w:cs="Helvetica"/>
          <w:sz w:val="44"/>
          <w:szCs w:val="48"/>
        </w:rPr>
        <w:t xml:space="preserve">        </w:t>
      </w:r>
      <w:r w:rsidR="00612793" w:rsidRPr="00E73989">
        <w:rPr>
          <w:rFonts w:ascii="Helvetica" w:hAnsi="Helvetica" w:cs="Helvetica"/>
          <w:sz w:val="44"/>
          <w:szCs w:val="48"/>
        </w:rPr>
        <w:t xml:space="preserve">                             </w:t>
      </w:r>
      <w:r w:rsidR="00783787" w:rsidRPr="00E73989">
        <w:rPr>
          <w:rFonts w:ascii="Helvetica" w:hAnsi="Helvetica" w:cs="Helvetica"/>
          <w:sz w:val="44"/>
          <w:szCs w:val="48"/>
        </w:rPr>
        <w:tab/>
        <w:t xml:space="preserve">   </w:t>
      </w:r>
      <w:r>
        <w:rPr>
          <w:rFonts w:ascii="Helvetica" w:hAnsi="Helvetica" w:cs="Helvetica"/>
          <w:sz w:val="44"/>
          <w:szCs w:val="48"/>
        </w:rPr>
        <w:tab/>
        <w:t>November</w:t>
      </w:r>
      <w:r w:rsidR="0056443A" w:rsidRPr="00E73989">
        <w:rPr>
          <w:rFonts w:ascii="Helvetica" w:hAnsi="Helvetica" w:cs="Helvetica"/>
          <w:sz w:val="44"/>
          <w:szCs w:val="48"/>
        </w:rPr>
        <w:t xml:space="preserve"> 2021</w:t>
      </w:r>
    </w:p>
    <w:p w14:paraId="5D9BBC47" w14:textId="77777777" w:rsidR="00630AC9" w:rsidRPr="00E73989" w:rsidRDefault="00122912" w:rsidP="00217D79">
      <w:pPr>
        <w:spacing w:after="0"/>
        <w:rPr>
          <w:rFonts w:ascii="Helvetica" w:hAnsi="Helvetica" w:cs="Helvetica"/>
          <w:bCs/>
          <w:sz w:val="18"/>
          <w:szCs w:val="18"/>
        </w:rPr>
      </w:pPr>
      <w:r w:rsidRPr="00E73989">
        <w:rPr>
          <w:rFonts w:ascii="Helvetica" w:hAnsi="Helvetica" w:cs="Helvetica"/>
          <w:i/>
          <w:noProof/>
          <w:sz w:val="18"/>
          <w:szCs w:val="18"/>
        </w:rPr>
        <mc:AlternateContent>
          <mc:Choice Requires="wps">
            <w:drawing>
              <wp:anchor distT="4294967295" distB="4294967295" distL="114300" distR="114300" simplePos="0" relativeHeight="251730944" behindDoc="0" locked="0" layoutInCell="1" allowOverlap="1" wp14:anchorId="38CFE4AA" wp14:editId="1A840CDA">
                <wp:simplePos x="0" y="0"/>
                <wp:positionH relativeFrom="margin">
                  <wp:posOffset>-572770</wp:posOffset>
                </wp:positionH>
                <wp:positionV relativeFrom="paragraph">
                  <wp:posOffset>128269</wp:posOffset>
                </wp:positionV>
                <wp:extent cx="6898005" cy="0"/>
                <wp:effectExtent l="0" t="0" r="36195" b="19050"/>
                <wp:wrapNone/>
                <wp:docPr id="2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980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CFA344" id="Straight Connector 4" o:spid="_x0000_s1026" style="position:absolute;z-index:2517309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45.1pt,10.1pt" to="498.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" strokecolor="black [3040]" strokeweight="1pt">
                <o:lock v:ext="edit" shapetype="f"/>
                <w10:wrap anchorx="margin"/>
              </v:line>
            </w:pict>
          </mc:Fallback>
        </mc:AlternateContent>
      </w:r>
    </w:p>
    <w:p w14:paraId="3A92DA44" w14:textId="77777777" w:rsidR="003F2E8D" w:rsidRPr="00E73989" w:rsidRDefault="003F2E8D" w:rsidP="00217D79">
      <w:pPr>
        <w:autoSpaceDE w:val="0"/>
        <w:autoSpaceDN w:val="0"/>
        <w:adjustRightInd w:val="0"/>
        <w:spacing w:after="0"/>
        <w:jc w:val="both"/>
        <w:rPr>
          <w:rFonts w:ascii="Helvetica" w:hAnsi="Helvetica" w:cs="Helvetica"/>
          <w:bCs/>
          <w:sz w:val="18"/>
          <w:szCs w:val="18"/>
        </w:rPr>
      </w:pPr>
    </w:p>
    <w:p w14:paraId="150FFFA6" w14:textId="77777777" w:rsidR="00B31C6A" w:rsidRPr="00511A0C" w:rsidRDefault="00B31C6A" w:rsidP="00B31C6A">
      <w:pPr>
        <w:pStyle w:val="ListParagraph"/>
        <w:autoSpaceDE w:val="0"/>
        <w:autoSpaceDN w:val="0"/>
        <w:adjustRightInd w:val="0"/>
        <w:spacing w:after="0"/>
        <w:ind w:left="0"/>
        <w:rPr>
          <w:rFonts w:ascii="Helvetica" w:hAnsi="Helvetica" w:cs="Helvetica"/>
          <w:b/>
        </w:rPr>
      </w:pPr>
      <w:r w:rsidRPr="00511A0C">
        <w:rPr>
          <w:rFonts w:ascii="Helvetica" w:hAnsi="Helvetica" w:cs="Helvetica"/>
          <w:b/>
        </w:rPr>
        <w:t>Executive summary</w:t>
      </w:r>
    </w:p>
    <w:p w14:paraId="28E7E0A0" w14:textId="1E5D6FDF" w:rsidR="00B31C6A" w:rsidRPr="00E73989" w:rsidRDefault="00B31C6A" w:rsidP="00B31C6A">
      <w:pPr>
        <w:spacing w:after="0"/>
        <w:contextualSpacing/>
        <w:jc w:val="both"/>
        <w:rPr>
          <w:rFonts w:ascii="Helvetica" w:eastAsia="Calibri" w:hAnsi="Helvetica" w:cs="Helvetica"/>
          <w:sz w:val="20"/>
          <w:szCs w:val="20"/>
          <w:lang w:eastAsia="en-US"/>
        </w:rPr>
      </w:pPr>
      <w:r w:rsidRPr="00E73989">
        <w:rPr>
          <w:rFonts w:ascii="Helvetica" w:eastAsia="Calibri" w:hAnsi="Helvetica" w:cs="Helvetica"/>
          <w:sz w:val="20"/>
          <w:szCs w:val="20"/>
          <w:lang w:eastAsia="en-US"/>
        </w:rPr>
        <w:t xml:space="preserve">This country fact sheet provides key trade, investment and </w:t>
      </w:r>
      <w:r w:rsidR="002B7BBF">
        <w:rPr>
          <w:rFonts w:ascii="Helvetica" w:eastAsia="Calibri" w:hAnsi="Helvetica" w:cs="Helvetica"/>
          <w:sz w:val="20"/>
          <w:szCs w:val="20"/>
          <w:lang w:eastAsia="en-US"/>
        </w:rPr>
        <w:t>tourism related statistics for Ghana</w:t>
      </w:r>
      <w:r w:rsidRPr="00E73989">
        <w:rPr>
          <w:rFonts w:ascii="Helvetica" w:eastAsia="Calibri" w:hAnsi="Helvetica" w:cs="Helvetica"/>
          <w:sz w:val="20"/>
          <w:szCs w:val="20"/>
          <w:lang w:eastAsia="en-US"/>
        </w:rPr>
        <w:t xml:space="preserve">. Specifically, it shows global trade and investment flows including an analysis of top markets and products for </w:t>
      </w:r>
      <w:r w:rsidR="002B7BBF">
        <w:rPr>
          <w:rFonts w:ascii="Helvetica" w:eastAsia="Calibri" w:hAnsi="Helvetica" w:cs="Helvetica"/>
          <w:sz w:val="20"/>
          <w:szCs w:val="20"/>
          <w:lang w:eastAsia="en-US"/>
        </w:rPr>
        <w:t>Ghana</w:t>
      </w:r>
      <w:r w:rsidRPr="00E73989">
        <w:rPr>
          <w:rFonts w:ascii="Helvetica" w:eastAsia="Calibri" w:hAnsi="Helvetica" w:cs="Helvetica"/>
          <w:sz w:val="20"/>
          <w:szCs w:val="20"/>
          <w:lang w:eastAsia="en-US"/>
        </w:rPr>
        <w:t xml:space="preserve"> in relation to South Africa and the Western Cape, highlighting the largest and fastest growing products and sub-sectors. It also analyses tourism trends between the </w:t>
      </w:r>
      <w:r w:rsidR="002B7BBF">
        <w:rPr>
          <w:rFonts w:ascii="Helvetica" w:eastAsia="Calibri" w:hAnsi="Helvetica" w:cs="Helvetica"/>
          <w:sz w:val="20"/>
          <w:szCs w:val="20"/>
          <w:lang w:eastAsia="en-US"/>
        </w:rPr>
        <w:t>Ghana</w:t>
      </w:r>
      <w:r w:rsidRPr="00E73989">
        <w:rPr>
          <w:rFonts w:ascii="Helvetica" w:eastAsia="Calibri" w:hAnsi="Helvetica" w:cs="Helvetica"/>
          <w:sz w:val="20"/>
          <w:szCs w:val="20"/>
          <w:lang w:eastAsia="en-US"/>
        </w:rPr>
        <w:t xml:space="preserve"> and South Af</w:t>
      </w:r>
      <w:r w:rsidR="00BE330A">
        <w:rPr>
          <w:rFonts w:ascii="Helvetica" w:eastAsia="Calibri" w:hAnsi="Helvetica" w:cs="Helvetica"/>
          <w:sz w:val="20"/>
          <w:szCs w:val="20"/>
          <w:lang w:eastAsia="en-US"/>
        </w:rPr>
        <w:t xml:space="preserve">rica. The key highlights are </w:t>
      </w:r>
      <w:r w:rsidRPr="00E73989">
        <w:rPr>
          <w:rFonts w:ascii="Helvetica" w:eastAsia="Calibri" w:hAnsi="Helvetica" w:cs="Helvetica"/>
          <w:sz w:val="20"/>
          <w:szCs w:val="20"/>
          <w:lang w:eastAsia="en-US"/>
        </w:rPr>
        <w:t>provided below:</w:t>
      </w:r>
    </w:p>
    <w:p w14:paraId="62A13456" w14:textId="77777777" w:rsidR="00B31C6A" w:rsidRPr="00E73989" w:rsidRDefault="00B31C6A" w:rsidP="00B31C6A">
      <w:pPr>
        <w:spacing w:after="0"/>
        <w:contextualSpacing/>
        <w:jc w:val="both"/>
        <w:rPr>
          <w:rFonts w:ascii="Helvetica" w:eastAsia="Calibri" w:hAnsi="Helvetica" w:cs="Helvetica"/>
          <w:sz w:val="20"/>
          <w:szCs w:val="20"/>
          <w:lang w:eastAsia="en-US"/>
        </w:rPr>
      </w:pPr>
    </w:p>
    <w:p w14:paraId="5D61BBC1" w14:textId="14FE321E" w:rsidR="00B31C6A" w:rsidRPr="00511A0C" w:rsidRDefault="00BE330A" w:rsidP="00B31C6A">
      <w:pPr>
        <w:autoSpaceDE w:val="0"/>
        <w:autoSpaceDN w:val="0"/>
        <w:adjustRightInd w:val="0"/>
        <w:spacing w:after="0"/>
        <w:ind w:left="567" w:hanging="567"/>
        <w:contextualSpacing/>
        <w:rPr>
          <w:rFonts w:ascii="Helvetica" w:eastAsia="MS Mincho" w:hAnsi="Helvetica" w:cs="Helvetica"/>
          <w:b/>
        </w:rPr>
      </w:pPr>
      <w:r w:rsidRPr="00511A0C">
        <w:rPr>
          <w:rFonts w:ascii="Helvetica" w:eastAsia="MS Mincho" w:hAnsi="Helvetica" w:cs="Helvetica"/>
          <w:b/>
        </w:rPr>
        <w:t>Economy</w:t>
      </w:r>
    </w:p>
    <w:p w14:paraId="59E0ECE3" w14:textId="77777777" w:rsidR="00BE330A" w:rsidRPr="00BE330A" w:rsidRDefault="00BE330A" w:rsidP="00BE330A">
      <w:pPr>
        <w:spacing w:after="0"/>
        <w:jc w:val="both"/>
        <w:rPr>
          <w:rFonts w:ascii="Helvetica" w:eastAsia="Calibri" w:hAnsi="Helvetica" w:cs="Helvetica"/>
          <w:sz w:val="20"/>
          <w:szCs w:val="20"/>
          <w:lang w:eastAsia="en-US"/>
        </w:rPr>
      </w:pPr>
      <w:r w:rsidRPr="00BE330A">
        <w:rPr>
          <w:rFonts w:ascii="Helvetica" w:eastAsia="Calibri" w:hAnsi="Helvetica" w:cs="Helvetica"/>
          <w:sz w:val="20"/>
          <w:szCs w:val="20"/>
          <w:lang w:eastAsia="en-US"/>
        </w:rPr>
        <w:t>The pandemic had a severe impact on economic activity in Ghana. Growth slowed to 0.4% in 2020 from 6.5% in 2019, food prices spiked, and poverty increased. Growth is expected to rebound to 4.7% in 2021, supported by a strong cocoa season and mining and services activity.</w:t>
      </w:r>
    </w:p>
    <w:p w14:paraId="32010A49" w14:textId="77777777" w:rsidR="00B31C6A" w:rsidRPr="00E73989" w:rsidRDefault="00B31C6A" w:rsidP="00B31C6A">
      <w:pPr>
        <w:autoSpaceDE w:val="0"/>
        <w:autoSpaceDN w:val="0"/>
        <w:adjustRightInd w:val="0"/>
        <w:spacing w:after="0"/>
        <w:rPr>
          <w:rFonts w:ascii="Helvetica" w:eastAsia="MS Mincho" w:hAnsi="Helvetica" w:cs="Helvetica"/>
          <w:b/>
          <w:sz w:val="20"/>
          <w:szCs w:val="20"/>
        </w:rPr>
      </w:pPr>
    </w:p>
    <w:p w14:paraId="6CF46340" w14:textId="6DE09AE3" w:rsidR="00B31C6A" w:rsidRPr="00511A0C" w:rsidRDefault="00BE330A" w:rsidP="00B31C6A">
      <w:pPr>
        <w:autoSpaceDE w:val="0"/>
        <w:autoSpaceDN w:val="0"/>
        <w:adjustRightInd w:val="0"/>
        <w:spacing w:after="0"/>
        <w:contextualSpacing/>
        <w:rPr>
          <w:rFonts w:ascii="Helvetica" w:eastAsia="MS Mincho" w:hAnsi="Helvetica" w:cs="Helvetica"/>
          <w:b/>
        </w:rPr>
      </w:pPr>
      <w:r w:rsidRPr="00511A0C">
        <w:rPr>
          <w:rFonts w:ascii="Helvetica" w:eastAsia="MS Mincho" w:hAnsi="Helvetica" w:cs="Helvetica"/>
          <w:b/>
        </w:rPr>
        <w:t xml:space="preserve">Trade </w:t>
      </w:r>
    </w:p>
    <w:p w14:paraId="667F9CCC" w14:textId="2C3A364A" w:rsidR="00BE330A" w:rsidRPr="0036774F" w:rsidRDefault="00BE330A" w:rsidP="00BE330A">
      <w:pPr>
        <w:pStyle w:val="ListParagraph"/>
        <w:numPr>
          <w:ilvl w:val="0"/>
          <w:numId w:val="33"/>
        </w:numPr>
        <w:spacing w:after="160" w:line="259" w:lineRule="auto"/>
        <w:jc w:val="both"/>
        <w:rPr>
          <w:rFonts w:ascii="Helvetica" w:hAnsi="Helvetica" w:cs="Helvetica"/>
          <w:sz w:val="20"/>
          <w:szCs w:val="20"/>
        </w:rPr>
      </w:pPr>
      <w:r w:rsidRPr="0036774F">
        <w:rPr>
          <w:rFonts w:ascii="Helvetica" w:hAnsi="Helvetica" w:cs="Helvetica"/>
          <w:sz w:val="20"/>
          <w:szCs w:val="20"/>
        </w:rPr>
        <w:t>Ghana’s trade balance seemingly followed a U-shape trend over the last 10 ye</w:t>
      </w:r>
      <w:r w:rsidR="00F83DD5">
        <w:rPr>
          <w:rFonts w:ascii="Helvetica" w:hAnsi="Helvetica" w:cs="Helvetica"/>
          <w:sz w:val="20"/>
          <w:szCs w:val="20"/>
        </w:rPr>
        <w:t>ars, with a trade surplus of US$</w:t>
      </w:r>
      <w:r w:rsidRPr="0036774F">
        <w:rPr>
          <w:rFonts w:ascii="Helvetica" w:hAnsi="Helvetica" w:cs="Helvetica"/>
          <w:sz w:val="20"/>
          <w:szCs w:val="20"/>
        </w:rPr>
        <w:t xml:space="preserve">5.54bn recorded in 2011. Subsequently, this favourable trade balance deteriorated over the period </w:t>
      </w:r>
      <w:r w:rsidR="00F83DD5">
        <w:rPr>
          <w:rFonts w:ascii="Helvetica" w:hAnsi="Helvetica" w:cs="Helvetica"/>
          <w:sz w:val="20"/>
          <w:szCs w:val="20"/>
        </w:rPr>
        <w:t>to reach trade deficit of US$</w:t>
      </w:r>
      <w:r w:rsidRPr="0036774F">
        <w:rPr>
          <w:rFonts w:ascii="Helvetica" w:hAnsi="Helvetica" w:cs="Helvetica"/>
          <w:sz w:val="20"/>
          <w:szCs w:val="20"/>
        </w:rPr>
        <w:t>0.71bn by 2016, before recovering</w:t>
      </w:r>
      <w:r w:rsidR="00F83DD5">
        <w:rPr>
          <w:rFonts w:ascii="Helvetica" w:hAnsi="Helvetica" w:cs="Helvetica"/>
          <w:sz w:val="20"/>
          <w:szCs w:val="20"/>
        </w:rPr>
        <w:t xml:space="preserve"> to reach a trade surplus of US$</w:t>
      </w:r>
      <w:r w:rsidRPr="0036774F">
        <w:rPr>
          <w:rFonts w:ascii="Helvetica" w:hAnsi="Helvetica" w:cs="Helvetica"/>
          <w:sz w:val="20"/>
          <w:szCs w:val="20"/>
        </w:rPr>
        <w:t>6.33bn by 2019.</w:t>
      </w:r>
    </w:p>
    <w:p w14:paraId="48AF24B0" w14:textId="77777777" w:rsidR="00BE330A" w:rsidRPr="0036774F" w:rsidRDefault="00BE330A" w:rsidP="00BE330A">
      <w:pPr>
        <w:pStyle w:val="ListParagraph"/>
        <w:numPr>
          <w:ilvl w:val="0"/>
          <w:numId w:val="33"/>
        </w:numPr>
        <w:spacing w:after="160" w:line="259" w:lineRule="auto"/>
        <w:jc w:val="both"/>
        <w:rPr>
          <w:rFonts w:ascii="Helvetica" w:hAnsi="Helvetica" w:cs="Helvetica"/>
          <w:sz w:val="20"/>
          <w:szCs w:val="20"/>
        </w:rPr>
      </w:pPr>
      <w:r w:rsidRPr="0036774F">
        <w:rPr>
          <w:rFonts w:ascii="Helvetica" w:hAnsi="Helvetica" w:cs="Helvetica"/>
          <w:sz w:val="20"/>
          <w:szCs w:val="20"/>
        </w:rPr>
        <w:t>Export growth deteriorated by 26.40% in 2020, owing to the aftermath of the global lockdown initiatives implemented to combat the health crisis arising for the Covid-19 pandemic.</w:t>
      </w:r>
    </w:p>
    <w:p w14:paraId="021F40F8" w14:textId="7B959C3F" w:rsidR="00BE330A" w:rsidRPr="0036774F" w:rsidRDefault="00BE330A" w:rsidP="00BE330A">
      <w:pPr>
        <w:pStyle w:val="ListParagraph"/>
        <w:numPr>
          <w:ilvl w:val="0"/>
          <w:numId w:val="33"/>
        </w:numPr>
        <w:spacing w:after="160" w:line="259" w:lineRule="auto"/>
        <w:jc w:val="both"/>
        <w:rPr>
          <w:rFonts w:ascii="Helvetica" w:hAnsi="Helvetica" w:cs="Helvetica"/>
          <w:sz w:val="20"/>
          <w:szCs w:val="20"/>
        </w:rPr>
      </w:pPr>
      <w:r w:rsidRPr="0036774F">
        <w:rPr>
          <w:rFonts w:ascii="Helvetica" w:hAnsi="Helvetica" w:cs="Helvetica"/>
          <w:sz w:val="20"/>
          <w:szCs w:val="20"/>
        </w:rPr>
        <w:t>Natural or cultured pearls dominated the export basket, accounting for 35.</w:t>
      </w:r>
      <w:r w:rsidR="00F83DD5">
        <w:rPr>
          <w:rFonts w:ascii="Helvetica" w:hAnsi="Helvetica" w:cs="Helvetica"/>
          <w:sz w:val="20"/>
          <w:szCs w:val="20"/>
        </w:rPr>
        <w:t>43% of exports at a value of US$</w:t>
      </w:r>
      <w:r w:rsidRPr="0036774F">
        <w:rPr>
          <w:rFonts w:ascii="Helvetica" w:hAnsi="Helvetica" w:cs="Helvetica"/>
          <w:sz w:val="20"/>
          <w:szCs w:val="20"/>
        </w:rPr>
        <w:t>4.34 billion in 2020</w:t>
      </w:r>
      <w:r w:rsidR="00F83DD5">
        <w:rPr>
          <w:rFonts w:ascii="Helvetica" w:hAnsi="Helvetica" w:cs="Helvetica"/>
          <w:sz w:val="20"/>
          <w:szCs w:val="20"/>
        </w:rPr>
        <w:t>, followed by mineral fuels (US$</w:t>
      </w:r>
      <w:r w:rsidRPr="0036774F">
        <w:rPr>
          <w:rFonts w:ascii="Helvetica" w:hAnsi="Helvetica" w:cs="Helvetica"/>
          <w:sz w:val="20"/>
          <w:szCs w:val="20"/>
        </w:rPr>
        <w:t>3.45 billion, or 26.37%) in second and cocoa and cocoa preparatio</w:t>
      </w:r>
      <w:r w:rsidR="00F83DD5">
        <w:rPr>
          <w:rFonts w:ascii="Helvetica" w:hAnsi="Helvetica" w:cs="Helvetica"/>
          <w:sz w:val="20"/>
          <w:szCs w:val="20"/>
        </w:rPr>
        <w:t>ns (US$</w:t>
      </w:r>
      <w:r w:rsidRPr="0036774F">
        <w:rPr>
          <w:rFonts w:ascii="Helvetica" w:hAnsi="Helvetica" w:cs="Helvetica"/>
          <w:sz w:val="20"/>
          <w:szCs w:val="20"/>
        </w:rPr>
        <w:t>2.39bn or 19.4%) in third place.</w:t>
      </w:r>
    </w:p>
    <w:p w14:paraId="040C1315" w14:textId="77777777" w:rsidR="00BE330A" w:rsidRPr="0036774F" w:rsidRDefault="00BE330A" w:rsidP="00BE330A">
      <w:pPr>
        <w:pStyle w:val="ListParagraph"/>
        <w:numPr>
          <w:ilvl w:val="0"/>
          <w:numId w:val="33"/>
        </w:numPr>
        <w:spacing w:after="160" w:line="259" w:lineRule="auto"/>
        <w:jc w:val="both"/>
        <w:rPr>
          <w:rFonts w:ascii="Helvetica" w:hAnsi="Helvetica" w:cs="Helvetica"/>
          <w:sz w:val="20"/>
          <w:szCs w:val="20"/>
        </w:rPr>
      </w:pPr>
      <w:r w:rsidRPr="0036774F">
        <w:rPr>
          <w:rFonts w:ascii="Helvetica" w:hAnsi="Helvetica" w:cs="Helvetica"/>
          <w:sz w:val="20"/>
          <w:szCs w:val="20"/>
        </w:rPr>
        <w:t>The export of meat or fish preparations had the highest growth in exports, increasing at an average annual rate of 12546.84% per annum from 2016 to 2020.</w:t>
      </w:r>
    </w:p>
    <w:p w14:paraId="5E44CDD1" w14:textId="064479A8" w:rsidR="00BE330A" w:rsidRPr="0036774F" w:rsidRDefault="00F83DD5" w:rsidP="00BE330A">
      <w:pPr>
        <w:pStyle w:val="ListParagraph"/>
        <w:numPr>
          <w:ilvl w:val="0"/>
          <w:numId w:val="33"/>
        </w:numPr>
        <w:spacing w:after="160" w:line="259" w:lineRule="auto"/>
        <w:jc w:val="both"/>
        <w:rPr>
          <w:rFonts w:ascii="Helvetica" w:hAnsi="Helvetica" w:cs="Helvetica"/>
          <w:sz w:val="20"/>
          <w:szCs w:val="20"/>
        </w:rPr>
      </w:pPr>
      <w:r>
        <w:rPr>
          <w:rFonts w:ascii="Helvetica" w:hAnsi="Helvetica" w:cs="Helvetica"/>
          <w:sz w:val="20"/>
          <w:szCs w:val="20"/>
        </w:rPr>
        <w:t>China was Ghana</w:t>
      </w:r>
      <w:r w:rsidR="00BE330A" w:rsidRPr="0036774F">
        <w:rPr>
          <w:rFonts w:ascii="Helvetica" w:hAnsi="Helvetica" w:cs="Helvetica"/>
          <w:sz w:val="20"/>
          <w:szCs w:val="20"/>
        </w:rPr>
        <w:t xml:space="preserve">’s largest export partner, with </w:t>
      </w:r>
      <w:r>
        <w:rPr>
          <w:rFonts w:ascii="Helvetica" w:hAnsi="Helvetica" w:cs="Helvetica"/>
          <w:sz w:val="20"/>
          <w:szCs w:val="20"/>
        </w:rPr>
        <w:t>exports to China reaching US$</w:t>
      </w:r>
      <w:r w:rsidR="00BE330A" w:rsidRPr="0036774F">
        <w:rPr>
          <w:rFonts w:ascii="Helvetica" w:hAnsi="Helvetica" w:cs="Helvetica"/>
          <w:sz w:val="20"/>
          <w:szCs w:val="20"/>
        </w:rPr>
        <w:t>2.81bn in 2019.</w:t>
      </w:r>
    </w:p>
    <w:p w14:paraId="1098BCD0" w14:textId="288F15F1" w:rsidR="00BE330A" w:rsidRPr="0036774F" w:rsidRDefault="00BE330A" w:rsidP="00BE330A">
      <w:pPr>
        <w:pStyle w:val="ListParagraph"/>
        <w:numPr>
          <w:ilvl w:val="0"/>
          <w:numId w:val="33"/>
        </w:numPr>
        <w:spacing w:after="0" w:line="259" w:lineRule="auto"/>
        <w:jc w:val="both"/>
        <w:rPr>
          <w:rFonts w:ascii="Helvetica" w:hAnsi="Helvetica" w:cs="Helvetica"/>
          <w:sz w:val="20"/>
          <w:szCs w:val="20"/>
        </w:rPr>
      </w:pPr>
      <w:r w:rsidRPr="0036774F">
        <w:rPr>
          <w:rFonts w:ascii="Helvetica" w:hAnsi="Helvetica" w:cs="Helvetica"/>
          <w:sz w:val="20"/>
          <w:szCs w:val="20"/>
        </w:rPr>
        <w:t>Machinery and mechanical appliances were the largest imported good into Ghana in 2020, reac</w:t>
      </w:r>
      <w:r w:rsidR="00F83DD5">
        <w:rPr>
          <w:rFonts w:ascii="Helvetica" w:hAnsi="Helvetica" w:cs="Helvetica"/>
          <w:sz w:val="20"/>
          <w:szCs w:val="20"/>
        </w:rPr>
        <w:t>hing a total import value of US$</w:t>
      </w:r>
      <w:r w:rsidRPr="0036774F">
        <w:rPr>
          <w:rFonts w:ascii="Helvetica" w:hAnsi="Helvetica" w:cs="Helvetica"/>
          <w:sz w:val="20"/>
          <w:szCs w:val="20"/>
        </w:rPr>
        <w:t>1.75bn (or 11%), with China being the top import partner for Ghanaian imports in 2019.</w:t>
      </w:r>
    </w:p>
    <w:p w14:paraId="7139BD70" w14:textId="77777777" w:rsidR="00B31C6A" w:rsidRPr="00E73989" w:rsidRDefault="00B31C6A" w:rsidP="00B31C6A">
      <w:pPr>
        <w:contextualSpacing/>
        <w:jc w:val="both"/>
        <w:rPr>
          <w:rFonts w:ascii="Helvetica" w:eastAsia="MS Mincho" w:hAnsi="Helvetica" w:cs="Helvetica"/>
          <w:sz w:val="20"/>
          <w:szCs w:val="20"/>
        </w:rPr>
      </w:pPr>
    </w:p>
    <w:p w14:paraId="4F255484" w14:textId="77777777" w:rsidR="00B31C6A" w:rsidRPr="00511A0C" w:rsidRDefault="00B31C6A" w:rsidP="00B31C6A">
      <w:pPr>
        <w:autoSpaceDE w:val="0"/>
        <w:autoSpaceDN w:val="0"/>
        <w:adjustRightInd w:val="0"/>
        <w:spacing w:after="0"/>
        <w:contextualSpacing/>
        <w:jc w:val="both"/>
        <w:rPr>
          <w:rFonts w:ascii="Helvetica" w:eastAsia="MS Mincho" w:hAnsi="Helvetica" w:cs="Helvetica"/>
          <w:b/>
        </w:rPr>
      </w:pPr>
      <w:r w:rsidRPr="00511A0C">
        <w:rPr>
          <w:rFonts w:ascii="Helvetica" w:eastAsia="MS Mincho" w:hAnsi="Helvetica" w:cs="Helvetica"/>
          <w:b/>
        </w:rPr>
        <w:t>FDI</w:t>
      </w:r>
    </w:p>
    <w:p w14:paraId="3488F710" w14:textId="77777777" w:rsidR="0036774F" w:rsidRDefault="0036774F" w:rsidP="0036774F">
      <w:pPr>
        <w:pStyle w:val="ListParagraph"/>
        <w:numPr>
          <w:ilvl w:val="0"/>
          <w:numId w:val="34"/>
        </w:numPr>
        <w:spacing w:before="40" w:after="40" w:line="240" w:lineRule="auto"/>
        <w:rPr>
          <w:rFonts w:ascii="Helvetica" w:hAnsi="Helvetica" w:cs="Helvetica"/>
          <w:sz w:val="20"/>
          <w:szCs w:val="20"/>
        </w:rPr>
      </w:pPr>
      <w:r w:rsidRPr="00AD2307">
        <w:rPr>
          <w:rFonts w:ascii="Helvetica" w:hAnsi="Helvetica" w:cs="Helvetica"/>
          <w:sz w:val="20"/>
          <w:szCs w:val="20"/>
        </w:rPr>
        <w:t>A total of 431 FDI projects, representing a to</w:t>
      </w:r>
      <w:r>
        <w:rPr>
          <w:rFonts w:ascii="Helvetica" w:hAnsi="Helvetica" w:cs="Helvetica"/>
          <w:sz w:val="20"/>
          <w:szCs w:val="20"/>
        </w:rPr>
        <w:t>tal capital expenditure of US$32.58 b</w:t>
      </w:r>
      <w:r w:rsidRPr="00AD2307">
        <w:rPr>
          <w:rFonts w:ascii="Helvetica" w:hAnsi="Helvetica" w:cs="Helvetica"/>
          <w:sz w:val="20"/>
          <w:szCs w:val="20"/>
        </w:rPr>
        <w:t xml:space="preserve">illion, were recorded into Ghana between January 2011 and September 2021. </w:t>
      </w:r>
    </w:p>
    <w:p w14:paraId="057AFFE7" w14:textId="77777777" w:rsidR="0036774F" w:rsidRPr="00AD2307" w:rsidRDefault="0036774F" w:rsidP="0036774F">
      <w:pPr>
        <w:pStyle w:val="ListParagraph"/>
        <w:numPr>
          <w:ilvl w:val="0"/>
          <w:numId w:val="34"/>
        </w:numPr>
        <w:spacing w:before="40" w:after="40" w:line="240" w:lineRule="auto"/>
        <w:rPr>
          <w:rFonts w:ascii="Arial" w:hAnsi="Arial" w:cs="Arial"/>
        </w:rPr>
      </w:pPr>
      <w:r>
        <w:rPr>
          <w:rFonts w:ascii="Arial" w:hAnsi="Arial" w:cs="Arial"/>
        </w:rPr>
        <w:t xml:space="preserve">Over the same period, Ghana recorded </w:t>
      </w:r>
      <w:r w:rsidRPr="00AD2307">
        <w:rPr>
          <w:rFonts w:ascii="Arial" w:hAnsi="Arial" w:cs="Arial"/>
        </w:rPr>
        <w:t xml:space="preserve">36 </w:t>
      </w:r>
      <w:r>
        <w:rPr>
          <w:rFonts w:ascii="Arial" w:hAnsi="Arial" w:cs="Arial"/>
        </w:rPr>
        <w:t xml:space="preserve">outward </w:t>
      </w:r>
      <w:r w:rsidRPr="00AD2307">
        <w:rPr>
          <w:rFonts w:ascii="Arial" w:hAnsi="Arial" w:cs="Arial"/>
        </w:rPr>
        <w:t>FDI projects</w:t>
      </w:r>
      <w:r>
        <w:rPr>
          <w:rFonts w:ascii="Arial" w:hAnsi="Arial" w:cs="Arial"/>
        </w:rPr>
        <w:t xml:space="preserve"> and a total capital outflow of 319.59 million.</w:t>
      </w:r>
    </w:p>
    <w:p w14:paraId="5AB7E149" w14:textId="77777777" w:rsidR="0036774F" w:rsidRPr="00AD2307" w:rsidRDefault="0036774F" w:rsidP="0036774F">
      <w:pPr>
        <w:pStyle w:val="ListParagraph"/>
        <w:numPr>
          <w:ilvl w:val="0"/>
          <w:numId w:val="34"/>
        </w:numPr>
        <w:spacing w:before="40" w:after="40" w:line="240" w:lineRule="auto"/>
        <w:rPr>
          <w:rFonts w:ascii="Helvetica" w:hAnsi="Helvetica" w:cs="Helvetica"/>
          <w:sz w:val="20"/>
          <w:szCs w:val="20"/>
        </w:rPr>
      </w:pPr>
      <w:r>
        <w:rPr>
          <w:rFonts w:ascii="Helvetica" w:hAnsi="Helvetica" w:cs="Helvetica"/>
          <w:sz w:val="20"/>
          <w:szCs w:val="20"/>
        </w:rPr>
        <w:t>As the second largest source market for inward FDI into Ghana, South African companies invested 47 FDI projects in the West African nation, 17% of which originated from the Western Cape.</w:t>
      </w:r>
    </w:p>
    <w:p w14:paraId="3A3B8D65" w14:textId="77777777" w:rsidR="00B31C6A" w:rsidRPr="00E73989" w:rsidRDefault="00B31C6A" w:rsidP="00B31C6A">
      <w:pPr>
        <w:autoSpaceDE w:val="0"/>
        <w:autoSpaceDN w:val="0"/>
        <w:adjustRightInd w:val="0"/>
        <w:spacing w:after="0"/>
        <w:jc w:val="both"/>
        <w:rPr>
          <w:rFonts w:ascii="Helvetica" w:eastAsia="MS Mincho" w:hAnsi="Helvetica" w:cs="Helvetica"/>
          <w:b/>
          <w:sz w:val="20"/>
          <w:szCs w:val="20"/>
          <w:highlight w:val="yellow"/>
        </w:rPr>
      </w:pPr>
    </w:p>
    <w:p w14:paraId="673BD768" w14:textId="417A5039" w:rsidR="00B31C6A" w:rsidRPr="00511A0C" w:rsidRDefault="00EE1C36" w:rsidP="00EE1C36">
      <w:pPr>
        <w:autoSpaceDE w:val="0"/>
        <w:autoSpaceDN w:val="0"/>
        <w:adjustRightInd w:val="0"/>
        <w:spacing w:after="0"/>
        <w:jc w:val="both"/>
        <w:rPr>
          <w:rFonts w:ascii="Helvetica" w:eastAsia="MS Mincho" w:hAnsi="Helvetica" w:cs="Helvetica"/>
          <w:b/>
        </w:rPr>
      </w:pPr>
      <w:r w:rsidRPr="00511A0C">
        <w:rPr>
          <w:rFonts w:ascii="Helvetica" w:eastAsia="MS Mincho" w:hAnsi="Helvetica" w:cs="Helvetica"/>
          <w:b/>
        </w:rPr>
        <w:t>Tourism</w:t>
      </w:r>
    </w:p>
    <w:p w14:paraId="7DC39110" w14:textId="0B10C8A9" w:rsidR="00B31C6A" w:rsidRPr="00E73989" w:rsidRDefault="00EE1C36" w:rsidP="00D770EB">
      <w:pPr>
        <w:pStyle w:val="ListParagraph"/>
        <w:numPr>
          <w:ilvl w:val="0"/>
          <w:numId w:val="13"/>
        </w:numPr>
        <w:shd w:val="clear" w:color="auto" w:fill="FFFFFF"/>
        <w:spacing w:after="0"/>
        <w:jc w:val="both"/>
        <w:rPr>
          <w:rFonts w:ascii="Helvetica" w:eastAsia="Times New Roman" w:hAnsi="Helvetica" w:cs="Helvetica"/>
          <w:color w:val="002F3C"/>
          <w:sz w:val="20"/>
          <w:szCs w:val="20"/>
        </w:rPr>
      </w:pPr>
      <w:r>
        <w:rPr>
          <w:rFonts w:ascii="Helvetica" w:eastAsia="Times New Roman" w:hAnsi="Helvetica" w:cs="Helvetica"/>
          <w:sz w:val="20"/>
          <w:szCs w:val="20"/>
        </w:rPr>
        <w:t>The number of 5 257 Ghanaians visited to South Africa declined from 18381 in 2019 to 5 257 in 2020.</w:t>
      </w:r>
    </w:p>
    <w:p w14:paraId="52A0FC50" w14:textId="554798AB" w:rsidR="00B31C6A" w:rsidRPr="00996CB2" w:rsidRDefault="00996CB2" w:rsidP="00D770EB">
      <w:pPr>
        <w:pStyle w:val="ListParagraph"/>
        <w:numPr>
          <w:ilvl w:val="0"/>
          <w:numId w:val="13"/>
        </w:numPr>
        <w:shd w:val="clear" w:color="auto" w:fill="FFFFFF"/>
        <w:spacing w:after="0"/>
        <w:jc w:val="both"/>
        <w:rPr>
          <w:rFonts w:ascii="Helvetica" w:eastAsia="Times New Roman" w:hAnsi="Helvetica" w:cs="Helvetica"/>
          <w:color w:val="002F3C"/>
          <w:sz w:val="20"/>
          <w:szCs w:val="20"/>
        </w:rPr>
      </w:pPr>
      <w:r>
        <w:rPr>
          <w:rFonts w:ascii="Helvetica" w:hAnsi="Helvetica" w:cs="Helvetica"/>
          <w:sz w:val="20"/>
          <w:szCs w:val="20"/>
        </w:rPr>
        <w:t>There has been a consistent increase in the number of Ghanaian visitors arrival in the Western, from 3 505 in 2017 to 4 298 in 2020.</w:t>
      </w:r>
    </w:p>
    <w:p w14:paraId="36B8B675" w14:textId="6866E807" w:rsidR="00996CB2" w:rsidRDefault="00996CB2" w:rsidP="00996CB2">
      <w:pPr>
        <w:shd w:val="clear" w:color="auto" w:fill="FFFFFF"/>
        <w:spacing w:after="0"/>
        <w:jc w:val="both"/>
        <w:rPr>
          <w:rFonts w:ascii="Helvetica" w:eastAsia="Times New Roman" w:hAnsi="Helvetica" w:cs="Helvetica"/>
          <w:color w:val="002F3C"/>
          <w:sz w:val="20"/>
          <w:szCs w:val="20"/>
        </w:rPr>
      </w:pPr>
    </w:p>
    <w:p w14:paraId="4EE03427" w14:textId="77777777" w:rsidR="00511A0C" w:rsidRDefault="00511A0C" w:rsidP="00996CB2">
      <w:pPr>
        <w:shd w:val="clear" w:color="auto" w:fill="FFFFFF"/>
        <w:spacing w:after="0"/>
        <w:jc w:val="both"/>
        <w:rPr>
          <w:rFonts w:ascii="Helvetica" w:eastAsia="Times New Roman" w:hAnsi="Helvetica" w:cs="Helvetica"/>
          <w:color w:val="002F3C"/>
          <w:sz w:val="20"/>
          <w:szCs w:val="20"/>
        </w:rPr>
      </w:pPr>
    </w:p>
    <w:p w14:paraId="26B8299E" w14:textId="43D1D008" w:rsidR="00996CB2" w:rsidRDefault="00996CB2" w:rsidP="00996CB2">
      <w:pPr>
        <w:shd w:val="clear" w:color="auto" w:fill="FFFFFF"/>
        <w:spacing w:after="0"/>
        <w:jc w:val="both"/>
        <w:rPr>
          <w:rFonts w:ascii="Helvetica" w:eastAsia="Times New Roman" w:hAnsi="Helvetica" w:cs="Helvetica"/>
          <w:color w:val="002F3C"/>
          <w:sz w:val="20"/>
          <w:szCs w:val="20"/>
        </w:rPr>
      </w:pPr>
    </w:p>
    <w:p w14:paraId="6326A270" w14:textId="77777777" w:rsidR="00996CB2" w:rsidRPr="00996CB2" w:rsidRDefault="00996CB2" w:rsidP="00996CB2">
      <w:pPr>
        <w:shd w:val="clear" w:color="auto" w:fill="FFFFFF"/>
        <w:spacing w:after="0"/>
        <w:jc w:val="both"/>
        <w:rPr>
          <w:rFonts w:ascii="Helvetica" w:eastAsia="Times New Roman" w:hAnsi="Helvetica" w:cs="Helvetica"/>
          <w:color w:val="002F3C"/>
          <w:sz w:val="20"/>
          <w:szCs w:val="20"/>
        </w:rPr>
      </w:pPr>
    </w:p>
    <w:p w14:paraId="4AA00D31" w14:textId="64380406" w:rsidR="00D73494" w:rsidRDefault="00D73494" w:rsidP="00D73494">
      <w:pPr>
        <w:autoSpaceDE w:val="0"/>
        <w:autoSpaceDN w:val="0"/>
        <w:adjustRightInd w:val="0"/>
        <w:spacing w:after="0"/>
        <w:jc w:val="both"/>
        <w:rPr>
          <w:rFonts w:ascii="Helvetica" w:eastAsia="Times New Roman" w:hAnsi="Helvetica" w:cs="Helvetica"/>
          <w:sz w:val="20"/>
          <w:szCs w:val="20"/>
        </w:rPr>
      </w:pPr>
    </w:p>
    <w:sdt>
      <w:sdtPr>
        <w:rPr>
          <w:rFonts w:asciiTheme="minorHAnsi" w:hAnsiTheme="minorHAnsi" w:cstheme="minorBidi"/>
          <w:b w:val="0"/>
          <w:sz w:val="22"/>
          <w:szCs w:val="22"/>
          <w:lang w:val="en-ZA" w:eastAsia="en-ZA"/>
        </w:rPr>
        <w:id w:val="-1946688925"/>
        <w:docPartObj>
          <w:docPartGallery w:val="Table of Contents"/>
          <w:docPartUnique/>
        </w:docPartObj>
      </w:sdtPr>
      <w:sdtEndPr>
        <w:rPr>
          <w:bCs/>
          <w:noProof/>
        </w:rPr>
      </w:sdtEndPr>
      <w:sdtContent>
        <w:p w14:paraId="566F6612" w14:textId="263B24B5" w:rsidR="00481F44" w:rsidRDefault="00481F44" w:rsidP="00481F44">
          <w:pPr>
            <w:pStyle w:val="TOCHeading"/>
            <w:numPr>
              <w:ilvl w:val="0"/>
              <w:numId w:val="0"/>
            </w:numPr>
            <w:ind w:left="567" w:hanging="567"/>
          </w:pPr>
          <w:r>
            <w:t>Table of Contents</w:t>
          </w:r>
        </w:p>
        <w:p w14:paraId="46F57B6D" w14:textId="1F08B5EF" w:rsidR="008672FC" w:rsidRPr="00F43916" w:rsidRDefault="00481F44">
          <w:pPr>
            <w:pStyle w:val="TOC1"/>
            <w:tabs>
              <w:tab w:val="left" w:pos="440"/>
              <w:tab w:val="right" w:leader="dot" w:pos="9628"/>
            </w:tabs>
            <w:rPr>
              <w:rFonts w:ascii="Helvetica" w:hAnsi="Helvetica" w:cs="Helvetica"/>
              <w:noProof/>
            </w:rPr>
          </w:pPr>
          <w:r>
            <w:fldChar w:fldCharType="begin"/>
          </w:r>
          <w:r>
            <w:instrText xml:space="preserve"> TOC \o "1-3" \h \z \u </w:instrText>
          </w:r>
          <w:r>
            <w:fldChar w:fldCharType="separate"/>
          </w:r>
          <w:hyperlink w:anchor="_Toc87202378" w:history="1">
            <w:r w:rsidR="008672FC" w:rsidRPr="00F43916">
              <w:rPr>
                <w:rStyle w:val="Hyperlink"/>
                <w:rFonts w:ascii="Helvetica" w:hAnsi="Helvetica" w:cs="Helvetica"/>
                <w:noProof/>
              </w:rPr>
              <w:t>1.</w:t>
            </w:r>
            <w:r w:rsidR="008672FC" w:rsidRPr="00F43916">
              <w:rPr>
                <w:rFonts w:ascii="Helvetica" w:hAnsi="Helvetica" w:cs="Helvetica"/>
                <w:noProof/>
              </w:rPr>
              <w:tab/>
            </w:r>
            <w:r w:rsidR="008672FC" w:rsidRPr="00F43916">
              <w:rPr>
                <w:rStyle w:val="Hyperlink"/>
                <w:rFonts w:ascii="Helvetica" w:hAnsi="Helvetica" w:cs="Helvetica"/>
                <w:noProof/>
              </w:rPr>
              <w:t>General information</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_Toc87202378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3</w:t>
            </w:r>
            <w:r w:rsidR="008672FC" w:rsidRPr="00F43916">
              <w:rPr>
                <w:rFonts w:ascii="Helvetica" w:hAnsi="Helvetica" w:cs="Helvetica"/>
                <w:noProof/>
                <w:webHidden/>
              </w:rPr>
              <w:fldChar w:fldCharType="end"/>
            </w:r>
          </w:hyperlink>
        </w:p>
        <w:p w14:paraId="528CDA04" w14:textId="101BEDC4" w:rsidR="008672FC" w:rsidRPr="00F43916" w:rsidRDefault="00AE640F">
          <w:pPr>
            <w:pStyle w:val="TOC1"/>
            <w:tabs>
              <w:tab w:val="left" w:pos="440"/>
              <w:tab w:val="right" w:leader="dot" w:pos="9628"/>
            </w:tabs>
            <w:rPr>
              <w:rFonts w:ascii="Helvetica" w:hAnsi="Helvetica" w:cs="Helvetica"/>
              <w:noProof/>
            </w:rPr>
          </w:pPr>
          <w:hyperlink w:anchor="_Toc87202379" w:history="1">
            <w:r w:rsidR="008672FC" w:rsidRPr="00F43916">
              <w:rPr>
                <w:rStyle w:val="Hyperlink"/>
                <w:rFonts w:ascii="Helvetica" w:hAnsi="Helvetica" w:cs="Helvetica"/>
                <w:noProof/>
              </w:rPr>
              <w:t>2.</w:t>
            </w:r>
            <w:r w:rsidR="008672FC" w:rsidRPr="00F43916">
              <w:rPr>
                <w:rFonts w:ascii="Helvetica" w:hAnsi="Helvetica" w:cs="Helvetica"/>
                <w:noProof/>
              </w:rPr>
              <w:tab/>
            </w:r>
            <w:r w:rsidR="008672FC" w:rsidRPr="00F43916">
              <w:rPr>
                <w:rStyle w:val="Hyperlink"/>
                <w:rFonts w:ascii="Helvetica" w:hAnsi="Helvetica" w:cs="Helvetica"/>
                <w:noProof/>
              </w:rPr>
              <w:t>Economic overview</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_Toc87202379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4</w:t>
            </w:r>
            <w:r w:rsidR="008672FC" w:rsidRPr="00F43916">
              <w:rPr>
                <w:rFonts w:ascii="Helvetica" w:hAnsi="Helvetica" w:cs="Helvetica"/>
                <w:noProof/>
                <w:webHidden/>
              </w:rPr>
              <w:fldChar w:fldCharType="end"/>
            </w:r>
          </w:hyperlink>
        </w:p>
        <w:p w14:paraId="0094A7FE" w14:textId="75A38117" w:rsidR="008672FC" w:rsidRPr="00F43916" w:rsidRDefault="00AE640F">
          <w:pPr>
            <w:pStyle w:val="TOC2"/>
            <w:tabs>
              <w:tab w:val="left" w:pos="880"/>
              <w:tab w:val="right" w:leader="dot" w:pos="9628"/>
            </w:tabs>
            <w:rPr>
              <w:rFonts w:ascii="Helvetica" w:hAnsi="Helvetica" w:cs="Helvetica"/>
              <w:noProof/>
            </w:rPr>
          </w:pPr>
          <w:hyperlink w:anchor="_Toc87202380" w:history="1">
            <w:r w:rsidR="008672FC" w:rsidRPr="00F43916">
              <w:rPr>
                <w:rStyle w:val="Hyperlink"/>
                <w:rFonts w:ascii="Helvetica" w:hAnsi="Helvetica" w:cs="Helvetica"/>
                <w:noProof/>
              </w:rPr>
              <w:t>2.1</w:t>
            </w:r>
            <w:r w:rsidR="008672FC" w:rsidRPr="00F43916">
              <w:rPr>
                <w:rFonts w:ascii="Helvetica" w:hAnsi="Helvetica" w:cs="Helvetica"/>
                <w:noProof/>
              </w:rPr>
              <w:tab/>
            </w:r>
            <w:r w:rsidR="008672FC" w:rsidRPr="00F43916">
              <w:rPr>
                <w:rStyle w:val="Hyperlink"/>
                <w:rFonts w:ascii="Helvetica" w:hAnsi="Helvetica" w:cs="Helvetica"/>
                <w:noProof/>
              </w:rPr>
              <w:t>Ghana sovereign credit rating</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_Toc87202380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5</w:t>
            </w:r>
            <w:r w:rsidR="008672FC" w:rsidRPr="00F43916">
              <w:rPr>
                <w:rFonts w:ascii="Helvetica" w:hAnsi="Helvetica" w:cs="Helvetica"/>
                <w:noProof/>
                <w:webHidden/>
              </w:rPr>
              <w:fldChar w:fldCharType="end"/>
            </w:r>
          </w:hyperlink>
        </w:p>
        <w:p w14:paraId="61FD7B43" w14:textId="5B2DF7D1" w:rsidR="008672FC" w:rsidRPr="00F43916" w:rsidRDefault="00AE640F">
          <w:pPr>
            <w:pStyle w:val="TOC1"/>
            <w:tabs>
              <w:tab w:val="left" w:pos="440"/>
              <w:tab w:val="right" w:leader="dot" w:pos="9628"/>
            </w:tabs>
            <w:rPr>
              <w:rFonts w:ascii="Helvetica" w:hAnsi="Helvetica" w:cs="Helvetica"/>
              <w:noProof/>
            </w:rPr>
          </w:pPr>
          <w:hyperlink w:anchor="_Toc87202381" w:history="1">
            <w:r w:rsidR="008672FC" w:rsidRPr="00F43916">
              <w:rPr>
                <w:rStyle w:val="Hyperlink"/>
                <w:rFonts w:ascii="Helvetica" w:hAnsi="Helvetica" w:cs="Helvetica"/>
                <w:noProof/>
              </w:rPr>
              <w:t>3.</w:t>
            </w:r>
            <w:r w:rsidR="008672FC" w:rsidRPr="00F43916">
              <w:rPr>
                <w:rFonts w:ascii="Helvetica" w:hAnsi="Helvetica" w:cs="Helvetica"/>
                <w:noProof/>
              </w:rPr>
              <w:tab/>
            </w:r>
            <w:r w:rsidR="008672FC" w:rsidRPr="00F43916">
              <w:rPr>
                <w:rStyle w:val="Hyperlink"/>
                <w:rFonts w:ascii="Helvetica" w:hAnsi="Helvetica" w:cs="Helvetica"/>
                <w:noProof/>
              </w:rPr>
              <w:t>Consumer insights</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_Toc87202381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8</w:t>
            </w:r>
            <w:r w:rsidR="008672FC" w:rsidRPr="00F43916">
              <w:rPr>
                <w:rFonts w:ascii="Helvetica" w:hAnsi="Helvetica" w:cs="Helvetica"/>
                <w:noProof/>
                <w:webHidden/>
              </w:rPr>
              <w:fldChar w:fldCharType="end"/>
            </w:r>
          </w:hyperlink>
        </w:p>
        <w:p w14:paraId="546E97D3" w14:textId="42CFCA0B" w:rsidR="008672FC" w:rsidRPr="00F43916" w:rsidRDefault="00AE640F">
          <w:pPr>
            <w:pStyle w:val="TOC2"/>
            <w:tabs>
              <w:tab w:val="left" w:pos="880"/>
              <w:tab w:val="right" w:leader="dot" w:pos="9628"/>
            </w:tabs>
            <w:rPr>
              <w:rFonts w:ascii="Helvetica" w:hAnsi="Helvetica" w:cs="Helvetica"/>
              <w:noProof/>
            </w:rPr>
          </w:pPr>
          <w:hyperlink w:anchor="_Toc87202382" w:history="1">
            <w:r w:rsidR="008672FC" w:rsidRPr="00F43916">
              <w:rPr>
                <w:rStyle w:val="Hyperlink"/>
                <w:rFonts w:ascii="Helvetica" w:hAnsi="Helvetica" w:cs="Helvetica"/>
                <w:noProof/>
              </w:rPr>
              <w:t>3.1</w:t>
            </w:r>
            <w:r w:rsidR="008672FC" w:rsidRPr="00F43916">
              <w:rPr>
                <w:rFonts w:ascii="Helvetica" w:hAnsi="Helvetica" w:cs="Helvetica"/>
                <w:noProof/>
              </w:rPr>
              <w:tab/>
            </w:r>
            <w:r w:rsidR="008672FC" w:rsidRPr="00F43916">
              <w:rPr>
                <w:rStyle w:val="Hyperlink"/>
                <w:rFonts w:ascii="Helvetica" w:hAnsi="Helvetica" w:cs="Helvetica"/>
                <w:noProof/>
              </w:rPr>
              <w:t>Household income expenditure</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_Toc87202382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8</w:t>
            </w:r>
            <w:r w:rsidR="008672FC" w:rsidRPr="00F43916">
              <w:rPr>
                <w:rFonts w:ascii="Helvetica" w:hAnsi="Helvetica" w:cs="Helvetica"/>
                <w:noProof/>
                <w:webHidden/>
              </w:rPr>
              <w:fldChar w:fldCharType="end"/>
            </w:r>
          </w:hyperlink>
        </w:p>
        <w:p w14:paraId="31C360D4" w14:textId="6490D79F" w:rsidR="008672FC" w:rsidRPr="00F43916" w:rsidRDefault="00AE640F">
          <w:pPr>
            <w:pStyle w:val="TOC1"/>
            <w:tabs>
              <w:tab w:val="left" w:pos="440"/>
              <w:tab w:val="right" w:leader="dot" w:pos="9628"/>
            </w:tabs>
            <w:rPr>
              <w:rFonts w:ascii="Helvetica" w:hAnsi="Helvetica" w:cs="Helvetica"/>
              <w:noProof/>
            </w:rPr>
          </w:pPr>
          <w:hyperlink w:anchor="_Toc87202383" w:history="1">
            <w:r w:rsidR="008672FC" w:rsidRPr="00F43916">
              <w:rPr>
                <w:rStyle w:val="Hyperlink"/>
                <w:rFonts w:ascii="Helvetica" w:hAnsi="Helvetica" w:cs="Helvetica"/>
                <w:noProof/>
              </w:rPr>
              <w:t>4.</w:t>
            </w:r>
            <w:r w:rsidR="008672FC" w:rsidRPr="00F43916">
              <w:rPr>
                <w:rFonts w:ascii="Helvetica" w:hAnsi="Helvetica" w:cs="Helvetica"/>
                <w:noProof/>
              </w:rPr>
              <w:tab/>
            </w:r>
            <w:r w:rsidR="008672FC" w:rsidRPr="00F43916">
              <w:rPr>
                <w:rStyle w:val="Hyperlink"/>
                <w:rFonts w:ascii="Helvetica" w:hAnsi="Helvetica" w:cs="Helvetica"/>
                <w:noProof/>
              </w:rPr>
              <w:t>Trade</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_Toc87202383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11</w:t>
            </w:r>
            <w:r w:rsidR="008672FC" w:rsidRPr="00F43916">
              <w:rPr>
                <w:rFonts w:ascii="Helvetica" w:hAnsi="Helvetica" w:cs="Helvetica"/>
                <w:noProof/>
                <w:webHidden/>
              </w:rPr>
              <w:fldChar w:fldCharType="end"/>
            </w:r>
          </w:hyperlink>
        </w:p>
        <w:p w14:paraId="2F66836D" w14:textId="7A3D002E" w:rsidR="008672FC" w:rsidRPr="00F43916" w:rsidRDefault="00AE640F">
          <w:pPr>
            <w:pStyle w:val="TOC2"/>
            <w:tabs>
              <w:tab w:val="left" w:pos="880"/>
              <w:tab w:val="right" w:leader="dot" w:pos="9628"/>
            </w:tabs>
            <w:rPr>
              <w:rFonts w:ascii="Helvetica" w:hAnsi="Helvetica" w:cs="Helvetica"/>
              <w:noProof/>
            </w:rPr>
          </w:pPr>
          <w:hyperlink w:anchor="_Toc87202384" w:history="1">
            <w:r w:rsidR="008672FC" w:rsidRPr="00F43916">
              <w:rPr>
                <w:rStyle w:val="Hyperlink"/>
                <w:rFonts w:ascii="Helvetica" w:hAnsi="Helvetica" w:cs="Helvetica"/>
                <w:noProof/>
              </w:rPr>
              <w:t>4.1</w:t>
            </w:r>
            <w:r w:rsidR="008672FC" w:rsidRPr="00F43916">
              <w:rPr>
                <w:rFonts w:ascii="Helvetica" w:hAnsi="Helvetica" w:cs="Helvetica"/>
                <w:noProof/>
              </w:rPr>
              <w:tab/>
            </w:r>
            <w:r w:rsidR="008672FC" w:rsidRPr="00F43916">
              <w:rPr>
                <w:rStyle w:val="Hyperlink"/>
                <w:rFonts w:ascii="Helvetica" w:hAnsi="Helvetica" w:cs="Helvetica"/>
                <w:noProof/>
              </w:rPr>
              <w:t>Ghana’s trade in goods</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_Toc87202384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11</w:t>
            </w:r>
            <w:r w:rsidR="008672FC" w:rsidRPr="00F43916">
              <w:rPr>
                <w:rFonts w:ascii="Helvetica" w:hAnsi="Helvetica" w:cs="Helvetica"/>
                <w:noProof/>
                <w:webHidden/>
              </w:rPr>
              <w:fldChar w:fldCharType="end"/>
            </w:r>
          </w:hyperlink>
        </w:p>
        <w:p w14:paraId="0ACCC158" w14:textId="5836A433" w:rsidR="008672FC" w:rsidRPr="00F43916" w:rsidRDefault="00AE640F">
          <w:pPr>
            <w:pStyle w:val="TOC2"/>
            <w:tabs>
              <w:tab w:val="left" w:pos="880"/>
              <w:tab w:val="right" w:leader="dot" w:pos="9628"/>
            </w:tabs>
            <w:rPr>
              <w:rFonts w:ascii="Helvetica" w:hAnsi="Helvetica" w:cs="Helvetica"/>
              <w:noProof/>
            </w:rPr>
          </w:pPr>
          <w:hyperlink w:anchor="_Toc87202385" w:history="1">
            <w:r w:rsidR="008672FC" w:rsidRPr="00F43916">
              <w:rPr>
                <w:rStyle w:val="Hyperlink"/>
                <w:rFonts w:ascii="Helvetica" w:hAnsi="Helvetica" w:cs="Helvetica"/>
                <w:bCs/>
                <w:noProof/>
                <w:lang w:eastAsia="en-US"/>
              </w:rPr>
              <w:t>4.2</w:t>
            </w:r>
            <w:r w:rsidR="008672FC" w:rsidRPr="00F43916">
              <w:rPr>
                <w:rFonts w:ascii="Helvetica" w:hAnsi="Helvetica" w:cs="Helvetica"/>
                <w:noProof/>
              </w:rPr>
              <w:tab/>
            </w:r>
            <w:r w:rsidR="008672FC" w:rsidRPr="00F43916">
              <w:rPr>
                <w:rStyle w:val="Hyperlink"/>
                <w:rFonts w:ascii="Helvetica" w:hAnsi="Helvetica" w:cs="Helvetica"/>
                <w:noProof/>
                <w:lang w:eastAsia="en-US"/>
              </w:rPr>
              <w:t>Western Cape’s trade with Ghana</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_Toc87202385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14</w:t>
            </w:r>
            <w:r w:rsidR="008672FC" w:rsidRPr="00F43916">
              <w:rPr>
                <w:rFonts w:ascii="Helvetica" w:hAnsi="Helvetica" w:cs="Helvetica"/>
                <w:noProof/>
                <w:webHidden/>
              </w:rPr>
              <w:fldChar w:fldCharType="end"/>
            </w:r>
          </w:hyperlink>
        </w:p>
        <w:p w14:paraId="6C221127" w14:textId="67FF75BC" w:rsidR="008672FC" w:rsidRPr="00F43916" w:rsidRDefault="00AE640F">
          <w:pPr>
            <w:pStyle w:val="TOC2"/>
            <w:tabs>
              <w:tab w:val="left" w:pos="880"/>
              <w:tab w:val="right" w:leader="dot" w:pos="9628"/>
            </w:tabs>
            <w:rPr>
              <w:rFonts w:ascii="Helvetica" w:hAnsi="Helvetica" w:cs="Helvetica"/>
              <w:noProof/>
            </w:rPr>
          </w:pPr>
          <w:hyperlink w:anchor="_Toc87202386" w:history="1">
            <w:r w:rsidR="008672FC" w:rsidRPr="00F43916">
              <w:rPr>
                <w:rStyle w:val="Hyperlink"/>
                <w:rFonts w:ascii="Helvetica" w:hAnsi="Helvetica" w:cs="Helvetica"/>
                <w:noProof/>
              </w:rPr>
              <w:t>4.3</w:t>
            </w:r>
            <w:r w:rsidR="008672FC" w:rsidRPr="00F43916">
              <w:rPr>
                <w:rFonts w:ascii="Helvetica" w:hAnsi="Helvetica" w:cs="Helvetica"/>
                <w:noProof/>
              </w:rPr>
              <w:tab/>
            </w:r>
            <w:r w:rsidR="008672FC" w:rsidRPr="00F43916">
              <w:rPr>
                <w:rStyle w:val="Hyperlink"/>
                <w:rFonts w:ascii="Helvetica" w:hAnsi="Helvetica" w:cs="Helvetica"/>
                <w:noProof/>
              </w:rPr>
              <w:t>Customs, regulations and standards</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_Toc87202386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17</w:t>
            </w:r>
            <w:r w:rsidR="008672FC" w:rsidRPr="00F43916">
              <w:rPr>
                <w:rFonts w:ascii="Helvetica" w:hAnsi="Helvetica" w:cs="Helvetica"/>
                <w:noProof/>
                <w:webHidden/>
              </w:rPr>
              <w:fldChar w:fldCharType="end"/>
            </w:r>
          </w:hyperlink>
        </w:p>
        <w:p w14:paraId="71F8EA3E" w14:textId="0371F215" w:rsidR="008672FC" w:rsidRPr="00F43916" w:rsidRDefault="00AE640F">
          <w:pPr>
            <w:pStyle w:val="TOC2"/>
            <w:tabs>
              <w:tab w:val="left" w:pos="880"/>
              <w:tab w:val="right" w:leader="dot" w:pos="9628"/>
            </w:tabs>
            <w:rPr>
              <w:rFonts w:ascii="Helvetica" w:hAnsi="Helvetica" w:cs="Helvetica"/>
              <w:noProof/>
            </w:rPr>
          </w:pPr>
          <w:hyperlink w:anchor="_Toc87202387" w:history="1">
            <w:r w:rsidR="008672FC" w:rsidRPr="00F43916">
              <w:rPr>
                <w:rStyle w:val="Hyperlink"/>
                <w:rFonts w:ascii="Helvetica" w:hAnsi="Helvetica" w:cs="Helvetica"/>
                <w:noProof/>
              </w:rPr>
              <w:t>4.4</w:t>
            </w:r>
            <w:r w:rsidR="008672FC" w:rsidRPr="00F43916">
              <w:rPr>
                <w:rFonts w:ascii="Helvetica" w:hAnsi="Helvetica" w:cs="Helvetica"/>
                <w:noProof/>
              </w:rPr>
              <w:tab/>
            </w:r>
            <w:r w:rsidR="008672FC" w:rsidRPr="00F43916">
              <w:rPr>
                <w:rStyle w:val="Hyperlink"/>
                <w:rFonts w:ascii="Helvetica" w:hAnsi="Helvetica" w:cs="Helvetica"/>
                <w:noProof/>
              </w:rPr>
              <w:t>Port-to-port</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_Toc87202387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18</w:t>
            </w:r>
            <w:r w:rsidR="008672FC" w:rsidRPr="00F43916">
              <w:rPr>
                <w:rFonts w:ascii="Helvetica" w:hAnsi="Helvetica" w:cs="Helvetica"/>
                <w:noProof/>
                <w:webHidden/>
              </w:rPr>
              <w:fldChar w:fldCharType="end"/>
            </w:r>
          </w:hyperlink>
        </w:p>
        <w:p w14:paraId="753F4E12" w14:textId="341779B8" w:rsidR="008672FC" w:rsidRPr="00F43916" w:rsidRDefault="00AE640F">
          <w:pPr>
            <w:pStyle w:val="TOC1"/>
            <w:tabs>
              <w:tab w:val="left" w:pos="440"/>
              <w:tab w:val="right" w:leader="dot" w:pos="9628"/>
            </w:tabs>
            <w:rPr>
              <w:rFonts w:ascii="Helvetica" w:hAnsi="Helvetica" w:cs="Helvetica"/>
              <w:noProof/>
            </w:rPr>
          </w:pPr>
          <w:hyperlink w:anchor="_Toc87202388" w:history="1">
            <w:r w:rsidR="008672FC" w:rsidRPr="00F43916">
              <w:rPr>
                <w:rStyle w:val="Hyperlink"/>
                <w:rFonts w:ascii="Helvetica" w:hAnsi="Helvetica" w:cs="Helvetica"/>
                <w:noProof/>
              </w:rPr>
              <w:t>5.</w:t>
            </w:r>
            <w:r w:rsidR="008672FC" w:rsidRPr="00F43916">
              <w:rPr>
                <w:rFonts w:ascii="Helvetica" w:hAnsi="Helvetica" w:cs="Helvetica"/>
                <w:noProof/>
              </w:rPr>
              <w:tab/>
            </w:r>
            <w:r w:rsidR="008672FC" w:rsidRPr="00F43916">
              <w:rPr>
                <w:rStyle w:val="Hyperlink"/>
                <w:rFonts w:ascii="Helvetica" w:hAnsi="Helvetica" w:cs="Helvetica"/>
                <w:noProof/>
              </w:rPr>
              <w:t>Foreign Direct Investment</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_Toc87202388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19</w:t>
            </w:r>
            <w:r w:rsidR="008672FC" w:rsidRPr="00F43916">
              <w:rPr>
                <w:rFonts w:ascii="Helvetica" w:hAnsi="Helvetica" w:cs="Helvetica"/>
                <w:noProof/>
                <w:webHidden/>
              </w:rPr>
              <w:fldChar w:fldCharType="end"/>
            </w:r>
          </w:hyperlink>
        </w:p>
        <w:p w14:paraId="18A30AFE" w14:textId="5EAE9B80" w:rsidR="008672FC" w:rsidRPr="00F43916" w:rsidRDefault="00AE640F">
          <w:pPr>
            <w:pStyle w:val="TOC2"/>
            <w:tabs>
              <w:tab w:val="left" w:pos="880"/>
              <w:tab w:val="right" w:leader="dot" w:pos="9628"/>
            </w:tabs>
            <w:rPr>
              <w:rFonts w:ascii="Helvetica" w:hAnsi="Helvetica" w:cs="Helvetica"/>
              <w:noProof/>
            </w:rPr>
          </w:pPr>
          <w:hyperlink w:anchor="_Toc87202389" w:history="1">
            <w:r w:rsidR="008672FC" w:rsidRPr="00F43916">
              <w:rPr>
                <w:rStyle w:val="Hyperlink"/>
                <w:rFonts w:ascii="Helvetica" w:hAnsi="Helvetica" w:cs="Helvetica"/>
                <w:noProof/>
              </w:rPr>
              <w:t>5.1</w:t>
            </w:r>
            <w:r w:rsidR="008672FC" w:rsidRPr="00F43916">
              <w:rPr>
                <w:rFonts w:ascii="Helvetica" w:hAnsi="Helvetica" w:cs="Helvetica"/>
                <w:noProof/>
              </w:rPr>
              <w:tab/>
            </w:r>
            <w:r w:rsidR="008672FC" w:rsidRPr="00F43916">
              <w:rPr>
                <w:rStyle w:val="Hyperlink"/>
                <w:rFonts w:ascii="Helvetica" w:hAnsi="Helvetica" w:cs="Helvetica"/>
                <w:noProof/>
              </w:rPr>
              <w:t>Inward FDI from the rest of the world to Ghana</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_Toc87202389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19</w:t>
            </w:r>
            <w:r w:rsidR="008672FC" w:rsidRPr="00F43916">
              <w:rPr>
                <w:rFonts w:ascii="Helvetica" w:hAnsi="Helvetica" w:cs="Helvetica"/>
                <w:noProof/>
                <w:webHidden/>
              </w:rPr>
              <w:fldChar w:fldCharType="end"/>
            </w:r>
          </w:hyperlink>
        </w:p>
        <w:p w14:paraId="41E96EE4" w14:textId="0109D775" w:rsidR="008672FC" w:rsidRPr="00F43916" w:rsidRDefault="00AE640F">
          <w:pPr>
            <w:pStyle w:val="TOC2"/>
            <w:tabs>
              <w:tab w:val="left" w:pos="880"/>
              <w:tab w:val="right" w:leader="dot" w:pos="9628"/>
            </w:tabs>
            <w:rPr>
              <w:rFonts w:ascii="Helvetica" w:hAnsi="Helvetica" w:cs="Helvetica"/>
              <w:noProof/>
            </w:rPr>
          </w:pPr>
          <w:hyperlink w:anchor="_Toc87202390" w:history="1">
            <w:r w:rsidR="008672FC" w:rsidRPr="00F43916">
              <w:rPr>
                <w:rStyle w:val="Hyperlink"/>
                <w:rFonts w:ascii="Helvetica" w:hAnsi="Helvetica" w:cs="Helvetica"/>
                <w:noProof/>
              </w:rPr>
              <w:t>5.2</w:t>
            </w:r>
            <w:r w:rsidR="008672FC" w:rsidRPr="00F43916">
              <w:rPr>
                <w:rFonts w:ascii="Helvetica" w:hAnsi="Helvetica" w:cs="Helvetica"/>
                <w:noProof/>
              </w:rPr>
              <w:tab/>
            </w:r>
            <w:r w:rsidR="008672FC" w:rsidRPr="00F43916">
              <w:rPr>
                <w:rStyle w:val="Hyperlink"/>
                <w:rFonts w:ascii="Helvetica" w:hAnsi="Helvetica" w:cs="Helvetica"/>
                <w:noProof/>
              </w:rPr>
              <w:t>Outward FDI from Ghana to the rest of the world</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_Toc87202390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21</w:t>
            </w:r>
            <w:r w:rsidR="008672FC" w:rsidRPr="00F43916">
              <w:rPr>
                <w:rFonts w:ascii="Helvetica" w:hAnsi="Helvetica" w:cs="Helvetica"/>
                <w:noProof/>
                <w:webHidden/>
              </w:rPr>
              <w:fldChar w:fldCharType="end"/>
            </w:r>
          </w:hyperlink>
        </w:p>
        <w:p w14:paraId="334FF8A5" w14:textId="5E8DE224" w:rsidR="008672FC" w:rsidRPr="00F43916" w:rsidRDefault="00AE640F">
          <w:pPr>
            <w:pStyle w:val="TOC2"/>
            <w:tabs>
              <w:tab w:val="left" w:pos="880"/>
              <w:tab w:val="right" w:leader="dot" w:pos="9628"/>
            </w:tabs>
            <w:rPr>
              <w:rFonts w:ascii="Helvetica" w:hAnsi="Helvetica" w:cs="Helvetica"/>
              <w:noProof/>
            </w:rPr>
          </w:pPr>
          <w:hyperlink w:anchor="_Toc87202391" w:history="1">
            <w:r w:rsidR="008672FC" w:rsidRPr="00F43916">
              <w:rPr>
                <w:rStyle w:val="Hyperlink"/>
                <w:rFonts w:ascii="Helvetica" w:hAnsi="Helvetica" w:cs="Helvetica"/>
                <w:noProof/>
              </w:rPr>
              <w:t>5.2</w:t>
            </w:r>
            <w:r w:rsidR="008672FC" w:rsidRPr="00F43916">
              <w:rPr>
                <w:rFonts w:ascii="Helvetica" w:hAnsi="Helvetica" w:cs="Helvetica"/>
                <w:noProof/>
              </w:rPr>
              <w:tab/>
            </w:r>
            <w:r w:rsidR="008672FC" w:rsidRPr="00F43916">
              <w:rPr>
                <w:rStyle w:val="Hyperlink"/>
                <w:rFonts w:ascii="Helvetica" w:hAnsi="Helvetica" w:cs="Helvetica"/>
                <w:noProof/>
              </w:rPr>
              <w:t>FDI flows between South Africa and Ghana</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_Toc87202391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24</w:t>
            </w:r>
            <w:r w:rsidR="008672FC" w:rsidRPr="00F43916">
              <w:rPr>
                <w:rFonts w:ascii="Helvetica" w:hAnsi="Helvetica" w:cs="Helvetica"/>
                <w:noProof/>
                <w:webHidden/>
              </w:rPr>
              <w:fldChar w:fldCharType="end"/>
            </w:r>
          </w:hyperlink>
        </w:p>
        <w:p w14:paraId="1E02A74A" w14:textId="00936662" w:rsidR="008672FC" w:rsidRPr="00F43916" w:rsidRDefault="00AE640F">
          <w:pPr>
            <w:pStyle w:val="TOC3"/>
            <w:rPr>
              <w:rFonts w:ascii="Helvetica" w:hAnsi="Helvetica" w:cs="Helvetica"/>
              <w:noProof/>
            </w:rPr>
          </w:pPr>
          <w:hyperlink w:anchor="_Toc87202392" w:history="1">
            <w:r w:rsidR="008672FC" w:rsidRPr="00F43916">
              <w:rPr>
                <w:rStyle w:val="Hyperlink"/>
                <w:rFonts w:ascii="Helvetica" w:hAnsi="Helvetica" w:cs="Helvetica"/>
                <w:noProof/>
              </w:rPr>
              <w:t>5.2.1</w:t>
            </w:r>
            <w:r w:rsidR="008672FC" w:rsidRPr="00F43916">
              <w:rPr>
                <w:rFonts w:ascii="Helvetica" w:hAnsi="Helvetica" w:cs="Helvetica"/>
                <w:noProof/>
              </w:rPr>
              <w:tab/>
            </w:r>
            <w:r w:rsidR="008672FC" w:rsidRPr="00F43916">
              <w:rPr>
                <w:rStyle w:val="Hyperlink"/>
                <w:rFonts w:ascii="Helvetica" w:hAnsi="Helvetica" w:cs="Helvetica"/>
                <w:noProof/>
              </w:rPr>
              <w:t>FDI flows from Ghana to South Africa</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_Toc87202392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24</w:t>
            </w:r>
            <w:r w:rsidR="008672FC" w:rsidRPr="00F43916">
              <w:rPr>
                <w:rFonts w:ascii="Helvetica" w:hAnsi="Helvetica" w:cs="Helvetica"/>
                <w:noProof/>
                <w:webHidden/>
              </w:rPr>
              <w:fldChar w:fldCharType="end"/>
            </w:r>
          </w:hyperlink>
        </w:p>
        <w:p w14:paraId="66D87116" w14:textId="4351A65D" w:rsidR="008672FC" w:rsidRPr="00F43916" w:rsidRDefault="00AE640F">
          <w:pPr>
            <w:pStyle w:val="TOC3"/>
            <w:rPr>
              <w:rFonts w:ascii="Helvetica" w:hAnsi="Helvetica" w:cs="Helvetica"/>
              <w:noProof/>
            </w:rPr>
          </w:pPr>
          <w:hyperlink w:anchor="_Toc87202393" w:history="1">
            <w:r w:rsidR="008672FC" w:rsidRPr="00F43916">
              <w:rPr>
                <w:rStyle w:val="Hyperlink"/>
                <w:rFonts w:ascii="Helvetica" w:hAnsi="Helvetica" w:cs="Helvetica"/>
                <w:noProof/>
              </w:rPr>
              <w:t>5.2.1</w:t>
            </w:r>
            <w:r w:rsidR="008672FC" w:rsidRPr="00F43916">
              <w:rPr>
                <w:rFonts w:ascii="Helvetica" w:hAnsi="Helvetica" w:cs="Helvetica"/>
                <w:noProof/>
              </w:rPr>
              <w:tab/>
            </w:r>
            <w:r w:rsidR="008672FC" w:rsidRPr="00F43916">
              <w:rPr>
                <w:rStyle w:val="Hyperlink"/>
                <w:rFonts w:ascii="Helvetica" w:hAnsi="Helvetica" w:cs="Helvetica"/>
                <w:noProof/>
              </w:rPr>
              <w:t>FDI flows from South Africa to Ghana</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_Toc87202393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25</w:t>
            </w:r>
            <w:r w:rsidR="008672FC" w:rsidRPr="00F43916">
              <w:rPr>
                <w:rFonts w:ascii="Helvetica" w:hAnsi="Helvetica" w:cs="Helvetica"/>
                <w:noProof/>
                <w:webHidden/>
              </w:rPr>
              <w:fldChar w:fldCharType="end"/>
            </w:r>
          </w:hyperlink>
        </w:p>
        <w:p w14:paraId="18774378" w14:textId="3B611C3A" w:rsidR="008672FC" w:rsidRPr="00F43916" w:rsidRDefault="00AE640F">
          <w:pPr>
            <w:pStyle w:val="TOC2"/>
            <w:tabs>
              <w:tab w:val="left" w:pos="880"/>
              <w:tab w:val="right" w:leader="dot" w:pos="9628"/>
            </w:tabs>
            <w:rPr>
              <w:rFonts w:ascii="Helvetica" w:hAnsi="Helvetica" w:cs="Helvetica"/>
              <w:noProof/>
            </w:rPr>
          </w:pPr>
          <w:hyperlink w:anchor="_Toc87202394" w:history="1">
            <w:r w:rsidR="008672FC" w:rsidRPr="00F43916">
              <w:rPr>
                <w:rStyle w:val="Hyperlink"/>
                <w:rFonts w:ascii="Helvetica" w:hAnsi="Helvetica" w:cs="Helvetica"/>
                <w:noProof/>
              </w:rPr>
              <w:t>5.3</w:t>
            </w:r>
            <w:r w:rsidR="008672FC" w:rsidRPr="00F43916">
              <w:rPr>
                <w:rFonts w:ascii="Helvetica" w:hAnsi="Helvetica" w:cs="Helvetica"/>
                <w:noProof/>
              </w:rPr>
              <w:tab/>
            </w:r>
            <w:r w:rsidR="008672FC" w:rsidRPr="00F43916">
              <w:rPr>
                <w:rStyle w:val="Hyperlink"/>
                <w:rFonts w:ascii="Helvetica" w:hAnsi="Helvetica" w:cs="Helvetica"/>
                <w:noProof/>
              </w:rPr>
              <w:t>FDI flows between the Western Cape and Ghana</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_Toc87202394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26</w:t>
            </w:r>
            <w:r w:rsidR="008672FC" w:rsidRPr="00F43916">
              <w:rPr>
                <w:rFonts w:ascii="Helvetica" w:hAnsi="Helvetica" w:cs="Helvetica"/>
                <w:noProof/>
                <w:webHidden/>
              </w:rPr>
              <w:fldChar w:fldCharType="end"/>
            </w:r>
          </w:hyperlink>
        </w:p>
        <w:p w14:paraId="32640A57" w14:textId="0D074882" w:rsidR="008672FC" w:rsidRPr="00F43916" w:rsidRDefault="00AE640F">
          <w:pPr>
            <w:pStyle w:val="TOC3"/>
            <w:rPr>
              <w:rFonts w:ascii="Helvetica" w:hAnsi="Helvetica" w:cs="Helvetica"/>
              <w:noProof/>
            </w:rPr>
          </w:pPr>
          <w:hyperlink w:anchor="_Toc87202395" w:history="1">
            <w:r w:rsidR="008672FC" w:rsidRPr="00F43916">
              <w:rPr>
                <w:rStyle w:val="Hyperlink"/>
                <w:rFonts w:ascii="Helvetica" w:hAnsi="Helvetica" w:cs="Helvetica"/>
                <w:noProof/>
              </w:rPr>
              <w:t>5.3.1</w:t>
            </w:r>
            <w:r w:rsidR="008672FC" w:rsidRPr="00F43916">
              <w:rPr>
                <w:rFonts w:ascii="Helvetica" w:hAnsi="Helvetica" w:cs="Helvetica"/>
                <w:noProof/>
              </w:rPr>
              <w:tab/>
            </w:r>
            <w:r w:rsidR="008672FC" w:rsidRPr="00F43916">
              <w:rPr>
                <w:rStyle w:val="Hyperlink"/>
                <w:rFonts w:ascii="Helvetica" w:hAnsi="Helvetica" w:cs="Helvetica"/>
                <w:noProof/>
              </w:rPr>
              <w:t>FDI from Ghana to the Western Cape</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_Toc87202395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26</w:t>
            </w:r>
            <w:r w:rsidR="008672FC" w:rsidRPr="00F43916">
              <w:rPr>
                <w:rFonts w:ascii="Helvetica" w:hAnsi="Helvetica" w:cs="Helvetica"/>
                <w:noProof/>
                <w:webHidden/>
              </w:rPr>
              <w:fldChar w:fldCharType="end"/>
            </w:r>
          </w:hyperlink>
        </w:p>
        <w:p w14:paraId="42ED8AD7" w14:textId="55E488D4" w:rsidR="008672FC" w:rsidRPr="00F43916" w:rsidRDefault="00AE640F">
          <w:pPr>
            <w:pStyle w:val="TOC3"/>
            <w:rPr>
              <w:rFonts w:ascii="Helvetica" w:hAnsi="Helvetica" w:cs="Helvetica"/>
              <w:noProof/>
            </w:rPr>
          </w:pPr>
          <w:hyperlink w:anchor="_Toc87202396" w:history="1">
            <w:r w:rsidR="008672FC" w:rsidRPr="00F43916">
              <w:rPr>
                <w:rStyle w:val="Hyperlink"/>
                <w:rFonts w:ascii="Helvetica" w:hAnsi="Helvetica" w:cs="Helvetica"/>
                <w:noProof/>
              </w:rPr>
              <w:t>5.3.2</w:t>
            </w:r>
            <w:r w:rsidR="008672FC" w:rsidRPr="00F43916">
              <w:rPr>
                <w:rFonts w:ascii="Helvetica" w:hAnsi="Helvetica" w:cs="Helvetica"/>
                <w:noProof/>
              </w:rPr>
              <w:tab/>
            </w:r>
            <w:r w:rsidR="008672FC" w:rsidRPr="00F43916">
              <w:rPr>
                <w:rStyle w:val="Hyperlink"/>
                <w:rFonts w:ascii="Helvetica" w:hAnsi="Helvetica" w:cs="Helvetica"/>
                <w:noProof/>
              </w:rPr>
              <w:t>FDI from the Western Cape to Ghana</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_Toc87202396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26</w:t>
            </w:r>
            <w:r w:rsidR="008672FC" w:rsidRPr="00F43916">
              <w:rPr>
                <w:rFonts w:ascii="Helvetica" w:hAnsi="Helvetica" w:cs="Helvetica"/>
                <w:noProof/>
                <w:webHidden/>
              </w:rPr>
              <w:fldChar w:fldCharType="end"/>
            </w:r>
          </w:hyperlink>
        </w:p>
        <w:p w14:paraId="2DF42EC7" w14:textId="2E275582" w:rsidR="008672FC" w:rsidRPr="00F43916" w:rsidRDefault="00AE640F">
          <w:pPr>
            <w:pStyle w:val="TOC1"/>
            <w:tabs>
              <w:tab w:val="left" w:pos="440"/>
              <w:tab w:val="right" w:leader="dot" w:pos="9628"/>
            </w:tabs>
            <w:rPr>
              <w:rFonts w:ascii="Helvetica" w:hAnsi="Helvetica" w:cs="Helvetica"/>
              <w:noProof/>
            </w:rPr>
          </w:pPr>
          <w:hyperlink w:anchor="_Toc87202397" w:history="1">
            <w:r w:rsidR="008672FC" w:rsidRPr="00F43916">
              <w:rPr>
                <w:rStyle w:val="Hyperlink"/>
                <w:rFonts w:ascii="Helvetica" w:hAnsi="Helvetica" w:cs="Helvetica"/>
                <w:noProof/>
              </w:rPr>
              <w:t>6.</w:t>
            </w:r>
            <w:r w:rsidR="008672FC" w:rsidRPr="00F43916">
              <w:rPr>
                <w:rFonts w:ascii="Helvetica" w:hAnsi="Helvetica" w:cs="Helvetica"/>
                <w:noProof/>
              </w:rPr>
              <w:tab/>
            </w:r>
            <w:r w:rsidR="008672FC" w:rsidRPr="00F43916">
              <w:rPr>
                <w:rStyle w:val="Hyperlink"/>
                <w:rFonts w:ascii="Helvetica" w:hAnsi="Helvetica" w:cs="Helvetica"/>
                <w:noProof/>
              </w:rPr>
              <w:t>Tourism market overview: Ghana</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_Toc87202397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28</w:t>
            </w:r>
            <w:r w:rsidR="008672FC" w:rsidRPr="00F43916">
              <w:rPr>
                <w:rFonts w:ascii="Helvetica" w:hAnsi="Helvetica" w:cs="Helvetica"/>
                <w:noProof/>
                <w:webHidden/>
              </w:rPr>
              <w:fldChar w:fldCharType="end"/>
            </w:r>
          </w:hyperlink>
        </w:p>
        <w:p w14:paraId="0BB34583" w14:textId="78EAAA93" w:rsidR="008672FC" w:rsidRPr="00F43916" w:rsidRDefault="00AE640F">
          <w:pPr>
            <w:pStyle w:val="TOC2"/>
            <w:tabs>
              <w:tab w:val="left" w:pos="880"/>
              <w:tab w:val="right" w:leader="dot" w:pos="9628"/>
            </w:tabs>
            <w:rPr>
              <w:rFonts w:ascii="Helvetica" w:hAnsi="Helvetica" w:cs="Helvetica"/>
              <w:noProof/>
            </w:rPr>
          </w:pPr>
          <w:hyperlink w:anchor="_Toc87202398" w:history="1">
            <w:r w:rsidR="008672FC" w:rsidRPr="00F43916">
              <w:rPr>
                <w:rStyle w:val="Hyperlink"/>
                <w:rFonts w:ascii="Helvetica" w:hAnsi="Helvetica" w:cs="Helvetica"/>
                <w:noProof/>
              </w:rPr>
              <w:t>6.1</w:t>
            </w:r>
            <w:r w:rsidR="008672FC" w:rsidRPr="00F43916">
              <w:rPr>
                <w:rFonts w:ascii="Helvetica" w:hAnsi="Helvetica" w:cs="Helvetica"/>
                <w:noProof/>
              </w:rPr>
              <w:tab/>
            </w:r>
            <w:r w:rsidR="008672FC" w:rsidRPr="00F43916">
              <w:rPr>
                <w:rStyle w:val="Hyperlink"/>
                <w:rFonts w:ascii="Helvetica" w:hAnsi="Helvetica" w:cs="Helvetica"/>
                <w:noProof/>
              </w:rPr>
              <w:t>Ghanaian tourist arrivals to South Africa</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_Toc87202398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28</w:t>
            </w:r>
            <w:r w:rsidR="008672FC" w:rsidRPr="00F43916">
              <w:rPr>
                <w:rFonts w:ascii="Helvetica" w:hAnsi="Helvetica" w:cs="Helvetica"/>
                <w:noProof/>
                <w:webHidden/>
              </w:rPr>
              <w:fldChar w:fldCharType="end"/>
            </w:r>
          </w:hyperlink>
        </w:p>
        <w:p w14:paraId="777E756C" w14:textId="5F9D2DFD" w:rsidR="008672FC" w:rsidRPr="00F43916" w:rsidRDefault="00AE640F">
          <w:pPr>
            <w:pStyle w:val="TOC2"/>
            <w:tabs>
              <w:tab w:val="left" w:pos="880"/>
              <w:tab w:val="right" w:leader="dot" w:pos="9628"/>
            </w:tabs>
            <w:rPr>
              <w:rFonts w:ascii="Helvetica" w:hAnsi="Helvetica" w:cs="Helvetica"/>
              <w:noProof/>
            </w:rPr>
          </w:pPr>
          <w:hyperlink w:anchor="_Toc87202399" w:history="1">
            <w:r w:rsidR="008672FC" w:rsidRPr="00F43916">
              <w:rPr>
                <w:rStyle w:val="Hyperlink"/>
                <w:rFonts w:ascii="Helvetica" w:hAnsi="Helvetica" w:cs="Helvetica"/>
                <w:noProof/>
              </w:rPr>
              <w:t>6.1</w:t>
            </w:r>
            <w:r w:rsidR="008672FC" w:rsidRPr="00F43916">
              <w:rPr>
                <w:rFonts w:ascii="Helvetica" w:hAnsi="Helvetica" w:cs="Helvetica"/>
                <w:noProof/>
              </w:rPr>
              <w:tab/>
            </w:r>
            <w:r w:rsidR="008672FC" w:rsidRPr="00F43916">
              <w:rPr>
                <w:rStyle w:val="Hyperlink"/>
                <w:rFonts w:ascii="Helvetica" w:hAnsi="Helvetica" w:cs="Helvetica"/>
                <w:noProof/>
              </w:rPr>
              <w:t>Ghanaian tourist arrivals into the Western Cape</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_Toc87202399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28</w:t>
            </w:r>
            <w:r w:rsidR="008672FC" w:rsidRPr="00F43916">
              <w:rPr>
                <w:rFonts w:ascii="Helvetica" w:hAnsi="Helvetica" w:cs="Helvetica"/>
                <w:noProof/>
                <w:webHidden/>
              </w:rPr>
              <w:fldChar w:fldCharType="end"/>
            </w:r>
          </w:hyperlink>
        </w:p>
        <w:p w14:paraId="496BB156" w14:textId="68D1DB52" w:rsidR="008672FC" w:rsidRDefault="00AE640F">
          <w:pPr>
            <w:pStyle w:val="TOC2"/>
            <w:tabs>
              <w:tab w:val="left" w:pos="880"/>
              <w:tab w:val="right" w:leader="dot" w:pos="9628"/>
            </w:tabs>
            <w:rPr>
              <w:noProof/>
            </w:rPr>
          </w:pPr>
          <w:hyperlink w:anchor="_Toc87202400" w:history="1">
            <w:r w:rsidR="008672FC" w:rsidRPr="00F43916">
              <w:rPr>
                <w:rStyle w:val="Hyperlink"/>
                <w:rFonts w:ascii="Helvetica" w:hAnsi="Helvetica" w:cs="Helvetica"/>
                <w:noProof/>
              </w:rPr>
              <w:t>6.2</w:t>
            </w:r>
            <w:r w:rsidR="008672FC" w:rsidRPr="00F43916">
              <w:rPr>
                <w:rFonts w:ascii="Helvetica" w:hAnsi="Helvetica" w:cs="Helvetica"/>
                <w:noProof/>
              </w:rPr>
              <w:tab/>
            </w:r>
            <w:r w:rsidR="008672FC" w:rsidRPr="00F43916">
              <w:rPr>
                <w:rStyle w:val="Hyperlink"/>
                <w:rFonts w:ascii="Helvetica" w:hAnsi="Helvetica" w:cs="Helvetica"/>
                <w:noProof/>
              </w:rPr>
              <w:t>Ghanaian passenger movement through Cape Town international airport</w:t>
            </w:r>
            <w:r w:rsidR="008672FC" w:rsidRPr="00F43916">
              <w:rPr>
                <w:rFonts w:ascii="Helvetica" w:hAnsi="Helvetica" w:cs="Helvetica"/>
                <w:noProof/>
                <w:webHidden/>
              </w:rPr>
              <w:tab/>
            </w:r>
            <w:r w:rsidR="008672FC" w:rsidRPr="00F43916">
              <w:rPr>
                <w:rFonts w:ascii="Helvetica" w:hAnsi="Helvetica" w:cs="Helvetica"/>
                <w:noProof/>
                <w:webHidden/>
              </w:rPr>
              <w:fldChar w:fldCharType="begin"/>
            </w:r>
            <w:r w:rsidR="008672FC" w:rsidRPr="00F43916">
              <w:rPr>
                <w:rFonts w:ascii="Helvetica" w:hAnsi="Helvetica" w:cs="Helvetica"/>
                <w:noProof/>
                <w:webHidden/>
              </w:rPr>
              <w:instrText xml:space="preserve"> PAGEREF _Toc87202400 \h </w:instrText>
            </w:r>
            <w:r w:rsidR="008672FC" w:rsidRPr="00F43916">
              <w:rPr>
                <w:rFonts w:ascii="Helvetica" w:hAnsi="Helvetica" w:cs="Helvetica"/>
                <w:noProof/>
                <w:webHidden/>
              </w:rPr>
            </w:r>
            <w:r w:rsidR="008672FC" w:rsidRPr="00F43916">
              <w:rPr>
                <w:rFonts w:ascii="Helvetica" w:hAnsi="Helvetica" w:cs="Helvetica"/>
                <w:noProof/>
                <w:webHidden/>
              </w:rPr>
              <w:fldChar w:fldCharType="separate"/>
            </w:r>
            <w:r w:rsidR="008672FC" w:rsidRPr="00F43916">
              <w:rPr>
                <w:rFonts w:ascii="Helvetica" w:hAnsi="Helvetica" w:cs="Helvetica"/>
                <w:noProof/>
                <w:webHidden/>
              </w:rPr>
              <w:t>29</w:t>
            </w:r>
            <w:r w:rsidR="008672FC" w:rsidRPr="00F43916">
              <w:rPr>
                <w:rFonts w:ascii="Helvetica" w:hAnsi="Helvetica" w:cs="Helvetica"/>
                <w:noProof/>
                <w:webHidden/>
              </w:rPr>
              <w:fldChar w:fldCharType="end"/>
            </w:r>
          </w:hyperlink>
        </w:p>
        <w:p w14:paraId="0AABA9AB" w14:textId="5E28313B" w:rsidR="00481F44" w:rsidRDefault="00481F44">
          <w:r>
            <w:rPr>
              <w:b/>
              <w:bCs/>
              <w:noProof/>
            </w:rPr>
            <w:fldChar w:fldCharType="end"/>
          </w:r>
        </w:p>
      </w:sdtContent>
    </w:sdt>
    <w:p w14:paraId="63C3AC84" w14:textId="77777777" w:rsidR="006032B5" w:rsidRPr="00E73989" w:rsidRDefault="006032B5" w:rsidP="006032B5">
      <w:pPr>
        <w:pStyle w:val="ListParagraph"/>
        <w:autoSpaceDE w:val="0"/>
        <w:autoSpaceDN w:val="0"/>
        <w:adjustRightInd w:val="0"/>
        <w:spacing w:after="0"/>
        <w:jc w:val="both"/>
        <w:rPr>
          <w:rFonts w:ascii="Helvetica" w:eastAsia="Times New Roman" w:hAnsi="Helvetica" w:cs="Helvetica"/>
          <w:sz w:val="18"/>
          <w:szCs w:val="18"/>
        </w:rPr>
      </w:pPr>
    </w:p>
    <w:p w14:paraId="64BE2AFA" w14:textId="77777777" w:rsidR="00951825" w:rsidRPr="00E73989" w:rsidRDefault="00951825">
      <w:pPr>
        <w:rPr>
          <w:rFonts w:ascii="Helvetica" w:eastAsia="Calibri" w:hAnsi="Helvetica" w:cs="Helvetica"/>
          <w:sz w:val="18"/>
          <w:szCs w:val="18"/>
          <w:lang w:eastAsia="en-US"/>
        </w:rPr>
      </w:pPr>
      <w:r w:rsidRPr="00E73989">
        <w:rPr>
          <w:rFonts w:ascii="Helvetica" w:eastAsia="Calibri" w:hAnsi="Helvetica" w:cs="Helvetica"/>
          <w:sz w:val="18"/>
          <w:szCs w:val="18"/>
          <w:lang w:eastAsia="en-US"/>
        </w:rPr>
        <w:br w:type="page"/>
      </w:r>
      <w:bookmarkStart w:id="0" w:name="_GoBack"/>
      <w:bookmarkEnd w:id="0"/>
    </w:p>
    <w:p w14:paraId="6B225FC5" w14:textId="6BD803BD" w:rsidR="00612AEE" w:rsidRPr="00E73989" w:rsidRDefault="00A30941" w:rsidP="00BE330A">
      <w:pPr>
        <w:pStyle w:val="Heading1"/>
        <w:ind w:left="426" w:hanging="426"/>
      </w:pPr>
      <w:bookmarkStart w:id="1" w:name="_Toc87202378"/>
      <w:r w:rsidRPr="00E73989">
        <w:lastRenderedPageBreak/>
        <w:t>General information</w:t>
      </w:r>
      <w:bookmarkEnd w:id="1"/>
    </w:p>
    <w:p w14:paraId="20C0FA03" w14:textId="77777777" w:rsidR="00612AEE" w:rsidRPr="00E73989" w:rsidRDefault="00612AEE" w:rsidP="00612AEE">
      <w:pPr>
        <w:autoSpaceDE w:val="0"/>
        <w:autoSpaceDN w:val="0"/>
        <w:adjustRightInd w:val="0"/>
        <w:spacing w:after="0"/>
        <w:contextualSpacing/>
        <w:jc w:val="both"/>
        <w:outlineLvl w:val="1"/>
        <w:rPr>
          <w:rFonts w:ascii="Helvetica" w:hAnsi="Helvetica" w:cs="Helvetica"/>
          <w:sz w:val="20"/>
          <w:szCs w:val="20"/>
        </w:rPr>
      </w:pPr>
    </w:p>
    <w:p w14:paraId="2643F8DE" w14:textId="77777777" w:rsidR="00612AEE" w:rsidRPr="00E73989" w:rsidRDefault="00612AEE" w:rsidP="00612AEE">
      <w:pPr>
        <w:tabs>
          <w:tab w:val="left" w:pos="5316"/>
        </w:tabs>
        <w:spacing w:after="0"/>
        <w:rPr>
          <w:rFonts w:ascii="Arial Narrow" w:eastAsia="Calibri" w:hAnsi="Arial Narrow" w:cs="Helvetica"/>
          <w:color w:val="0070C0"/>
          <w:sz w:val="20"/>
          <w:szCs w:val="20"/>
          <w:lang w:eastAsia="en-US"/>
        </w:rPr>
      </w:pPr>
      <w:r w:rsidRPr="00E73989">
        <w:rPr>
          <w:noProof/>
        </w:rPr>
        <w:drawing>
          <wp:inline distT="0" distB="0" distL="0" distR="0" wp14:anchorId="2D8A0ECD" wp14:editId="24669E6C">
            <wp:extent cx="2918460" cy="1949531"/>
            <wp:effectExtent l="0" t="0" r="0" b="0"/>
            <wp:docPr id="9" name="Picture 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1708" cy="1958380"/>
                    </a:xfrm>
                    <a:prstGeom prst="rect">
                      <a:avLst/>
                    </a:prstGeom>
                    <a:noFill/>
                    <a:ln>
                      <a:noFill/>
                    </a:ln>
                  </pic:spPr>
                </pic:pic>
              </a:graphicData>
            </a:graphic>
          </wp:inline>
        </w:drawing>
      </w:r>
      <w:r w:rsidRPr="00E73989">
        <w:rPr>
          <w:rFonts w:ascii="Arial Narrow" w:eastAsia="Calibri" w:hAnsi="Arial Narrow" w:cs="Helvetica"/>
          <w:color w:val="0070C0"/>
          <w:sz w:val="20"/>
          <w:szCs w:val="20"/>
          <w:lang w:eastAsia="en-US"/>
        </w:rPr>
        <w:tab/>
      </w:r>
      <w:r w:rsidRPr="00E73989">
        <w:rPr>
          <w:noProof/>
        </w:rPr>
        <w:drawing>
          <wp:inline distT="0" distB="0" distL="0" distR="0" wp14:anchorId="0FD867CF" wp14:editId="7C132A1E">
            <wp:extent cx="2415540" cy="2598179"/>
            <wp:effectExtent l="0" t="0" r="381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3714" cy="2606971"/>
                    </a:xfrm>
                    <a:prstGeom prst="rect">
                      <a:avLst/>
                    </a:prstGeom>
                    <a:noFill/>
                    <a:ln>
                      <a:noFill/>
                    </a:ln>
                  </pic:spPr>
                </pic:pic>
              </a:graphicData>
            </a:graphic>
          </wp:inline>
        </w:drawing>
      </w:r>
    </w:p>
    <w:p w14:paraId="18AF23D5" w14:textId="77777777" w:rsidR="00612AEE" w:rsidRPr="00E73989" w:rsidRDefault="00612AEE" w:rsidP="00612AEE">
      <w:pPr>
        <w:spacing w:after="0"/>
        <w:jc w:val="both"/>
        <w:rPr>
          <w:rFonts w:ascii="Helvetica" w:hAnsi="Helvetica" w:cs="Helvetica"/>
          <w:noProof/>
          <w:color w:val="0070C0"/>
          <w:sz w:val="20"/>
          <w:szCs w:val="20"/>
        </w:rPr>
      </w:pPr>
    </w:p>
    <w:p w14:paraId="11FE6B4A" w14:textId="77777777" w:rsidR="00612AEE" w:rsidRPr="00E73989" w:rsidRDefault="00612AEE" w:rsidP="00612AEE">
      <w:pPr>
        <w:spacing w:after="0"/>
        <w:jc w:val="both"/>
        <w:rPr>
          <w:rFonts w:ascii="Helvetica" w:eastAsia="Calibri" w:hAnsi="Helvetica" w:cs="Helvetica"/>
          <w:sz w:val="20"/>
          <w:szCs w:val="20"/>
          <w:lang w:eastAsia="en-US"/>
        </w:rPr>
      </w:pPr>
      <w:r w:rsidRPr="00E73989">
        <w:rPr>
          <w:rFonts w:ascii="Helvetica" w:eastAsia="Calibri" w:hAnsi="Helvetica" w:cs="Helvetica"/>
          <w:sz w:val="20"/>
          <w:szCs w:val="20"/>
          <w:lang w:eastAsia="en-US"/>
        </w:rPr>
        <w:t>Formed from the merger of the British colony of the Gold Coast and the Togoland trust territory, Ghana in 1957 became the first Sub-Saharan country in colonial Africa to gain its independence. Ghana endured a series of coups before Lt. Jerry Rawlings took power in 1981 and banned political parties. After approving a new constitution and restoring multiparty politics in 1992, Rawlings won presidential elections in 1992 and 1996 but was constitutionally prevented from running for a third term in 2000. John Kufuor of the opposition New Patriotic Party (NPP) succeeded him and was re-elected in 2004. John Atta Mills of the National Democratic Congress won the 2008 presidential election and took over as head of state. Mills died in July 2012 and was constitutionally succeeded by his vice president, John Dramani Mahama, who subsequently won the December 2012 presidential election. In 2016, Nana Addo Dankwa Akufo-Addo of the NPP defeated Mahama, marking the third time that Ghana’s presidency has changed parties since the return to democracy.</w:t>
      </w:r>
      <w:r w:rsidRPr="00E73989">
        <w:rPr>
          <w:rStyle w:val="FootnoteReference"/>
          <w:rFonts w:ascii="Helvetica" w:eastAsia="Calibri" w:hAnsi="Helvetica" w:cs="Helvetica"/>
          <w:sz w:val="20"/>
          <w:szCs w:val="20"/>
          <w:lang w:eastAsia="en-US"/>
        </w:rPr>
        <w:footnoteReference w:id="1"/>
      </w:r>
    </w:p>
    <w:p w14:paraId="68669F3E" w14:textId="77777777" w:rsidR="00612AEE" w:rsidRPr="00E73989" w:rsidRDefault="00612AEE" w:rsidP="00612AEE">
      <w:pPr>
        <w:spacing w:after="0"/>
        <w:jc w:val="both"/>
        <w:rPr>
          <w:rFonts w:ascii="Arial Narrow" w:eastAsia="Calibri" w:hAnsi="Arial Narrow" w:cs="Helvetica"/>
          <w:sz w:val="20"/>
          <w:szCs w:val="20"/>
          <w:lang w:eastAsia="en-US"/>
        </w:rPr>
      </w:pPr>
    </w:p>
    <w:p w14:paraId="64E12673" w14:textId="550D6CF7" w:rsidR="00DF5849" w:rsidRPr="00DF5849" w:rsidRDefault="00DF5849" w:rsidP="00DF5849">
      <w:pPr>
        <w:pStyle w:val="Caption"/>
        <w:keepNext/>
        <w:spacing w:after="0"/>
        <w:ind w:firstLine="720"/>
        <w:rPr>
          <w:rFonts w:ascii="Helvetica" w:hAnsi="Helvetica" w:cs="Helvetica"/>
        </w:rPr>
      </w:pPr>
      <w:r w:rsidRPr="00DF5849">
        <w:rPr>
          <w:rFonts w:ascii="Helvetica" w:hAnsi="Helvetica" w:cs="Helvetica"/>
        </w:rPr>
        <w:t xml:space="preserve">Table </w:t>
      </w:r>
      <w:r w:rsidRPr="00DF5849">
        <w:rPr>
          <w:rFonts w:ascii="Helvetica" w:hAnsi="Helvetica" w:cs="Helvetica"/>
        </w:rPr>
        <w:fldChar w:fldCharType="begin"/>
      </w:r>
      <w:r w:rsidRPr="00DF5849">
        <w:rPr>
          <w:rFonts w:ascii="Helvetica" w:hAnsi="Helvetica" w:cs="Helvetica"/>
        </w:rPr>
        <w:instrText xml:space="preserve"> SEQ Table \* ARABIC </w:instrText>
      </w:r>
      <w:r w:rsidRPr="00DF5849">
        <w:rPr>
          <w:rFonts w:ascii="Helvetica" w:hAnsi="Helvetica" w:cs="Helvetica"/>
        </w:rPr>
        <w:fldChar w:fldCharType="separate"/>
      </w:r>
      <w:r w:rsidR="00B66D27">
        <w:rPr>
          <w:rFonts w:ascii="Helvetica" w:hAnsi="Helvetica" w:cs="Helvetica"/>
          <w:noProof/>
        </w:rPr>
        <w:t>1</w:t>
      </w:r>
      <w:r w:rsidRPr="00DF5849">
        <w:rPr>
          <w:rFonts w:ascii="Helvetica" w:hAnsi="Helvetica" w:cs="Helvetica"/>
        </w:rPr>
        <w:fldChar w:fldCharType="end"/>
      </w:r>
      <w:r w:rsidRPr="00DF5849">
        <w:rPr>
          <w:rFonts w:ascii="Helvetica" w:hAnsi="Helvetica" w:cs="Helvetica"/>
        </w:rPr>
        <w:t>: General information</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5536"/>
      </w:tblGrid>
      <w:tr w:rsidR="00612AEE" w:rsidRPr="00E73989" w14:paraId="336106CF" w14:textId="77777777" w:rsidTr="00DF5849">
        <w:trPr>
          <w:trHeight w:val="213"/>
          <w:jc w:val="center"/>
        </w:trPr>
        <w:tc>
          <w:tcPr>
            <w:tcW w:w="2539" w:type="dxa"/>
            <w:shd w:val="clear" w:color="auto" w:fill="auto"/>
            <w:vAlign w:val="center"/>
            <w:hideMark/>
          </w:tcPr>
          <w:p w14:paraId="3E141F06"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 xml:space="preserve">Capital city </w:t>
            </w:r>
          </w:p>
        </w:tc>
        <w:tc>
          <w:tcPr>
            <w:tcW w:w="5536" w:type="dxa"/>
            <w:shd w:val="clear" w:color="auto" w:fill="auto"/>
            <w:vAlign w:val="center"/>
            <w:hideMark/>
          </w:tcPr>
          <w:p w14:paraId="24F703FF"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Accra</w:t>
            </w:r>
          </w:p>
        </w:tc>
      </w:tr>
      <w:tr w:rsidR="00612AEE" w:rsidRPr="00E73989" w14:paraId="617FB893" w14:textId="77777777" w:rsidTr="00DF5849">
        <w:trPr>
          <w:trHeight w:val="213"/>
          <w:jc w:val="center"/>
        </w:trPr>
        <w:tc>
          <w:tcPr>
            <w:tcW w:w="2539" w:type="dxa"/>
            <w:shd w:val="clear" w:color="auto" w:fill="auto"/>
            <w:vAlign w:val="center"/>
            <w:hideMark/>
          </w:tcPr>
          <w:p w14:paraId="2C4EFD61"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Government type</w:t>
            </w:r>
          </w:p>
        </w:tc>
        <w:tc>
          <w:tcPr>
            <w:tcW w:w="5536" w:type="dxa"/>
            <w:shd w:val="clear" w:color="auto" w:fill="auto"/>
            <w:vAlign w:val="center"/>
            <w:hideMark/>
          </w:tcPr>
          <w:p w14:paraId="6D5B4555"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Presidential Republic</w:t>
            </w:r>
          </w:p>
        </w:tc>
      </w:tr>
      <w:tr w:rsidR="00612AEE" w:rsidRPr="00E73989" w14:paraId="3B6DBFF7" w14:textId="77777777" w:rsidTr="00DF5849">
        <w:trPr>
          <w:trHeight w:val="213"/>
          <w:jc w:val="center"/>
        </w:trPr>
        <w:tc>
          <w:tcPr>
            <w:tcW w:w="2539" w:type="dxa"/>
            <w:shd w:val="clear" w:color="auto" w:fill="auto"/>
            <w:vAlign w:val="center"/>
            <w:hideMark/>
          </w:tcPr>
          <w:p w14:paraId="7BD8D26A"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 xml:space="preserve">Chief of State </w:t>
            </w:r>
          </w:p>
        </w:tc>
        <w:tc>
          <w:tcPr>
            <w:tcW w:w="5536" w:type="dxa"/>
            <w:shd w:val="clear" w:color="auto" w:fill="auto"/>
            <w:vAlign w:val="center"/>
            <w:hideMark/>
          </w:tcPr>
          <w:p w14:paraId="480D25BE"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President Nana Addo Dankwa Akufo-Addo</w:t>
            </w:r>
          </w:p>
        </w:tc>
      </w:tr>
      <w:tr w:rsidR="00612AEE" w:rsidRPr="00E73989" w14:paraId="5FFD6C72" w14:textId="77777777" w:rsidTr="00DF5849">
        <w:trPr>
          <w:trHeight w:val="213"/>
          <w:jc w:val="center"/>
        </w:trPr>
        <w:tc>
          <w:tcPr>
            <w:tcW w:w="2539" w:type="dxa"/>
            <w:shd w:val="clear" w:color="auto" w:fill="auto"/>
            <w:vAlign w:val="center"/>
            <w:hideMark/>
          </w:tcPr>
          <w:p w14:paraId="7C6A4DAE"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Population</w:t>
            </w:r>
          </w:p>
        </w:tc>
        <w:tc>
          <w:tcPr>
            <w:tcW w:w="5536" w:type="dxa"/>
            <w:shd w:val="clear" w:color="auto" w:fill="auto"/>
            <w:vAlign w:val="center"/>
            <w:hideMark/>
          </w:tcPr>
          <w:p w14:paraId="1532FC15"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32, 372, 889 (July 2021 est.)</w:t>
            </w:r>
          </w:p>
        </w:tc>
      </w:tr>
      <w:tr w:rsidR="00612AEE" w:rsidRPr="00E73989" w14:paraId="09950101" w14:textId="77777777" w:rsidTr="00DF5849">
        <w:trPr>
          <w:trHeight w:val="213"/>
          <w:jc w:val="center"/>
        </w:trPr>
        <w:tc>
          <w:tcPr>
            <w:tcW w:w="2539" w:type="dxa"/>
            <w:shd w:val="clear" w:color="auto" w:fill="auto"/>
            <w:vAlign w:val="center"/>
            <w:hideMark/>
          </w:tcPr>
          <w:p w14:paraId="183641CF"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Life expectancy</w:t>
            </w:r>
          </w:p>
        </w:tc>
        <w:tc>
          <w:tcPr>
            <w:tcW w:w="5536" w:type="dxa"/>
            <w:shd w:val="clear" w:color="auto" w:fill="auto"/>
            <w:vAlign w:val="center"/>
            <w:hideMark/>
          </w:tcPr>
          <w:p w14:paraId="7487675B"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69.01 years</w:t>
            </w:r>
          </w:p>
        </w:tc>
      </w:tr>
      <w:tr w:rsidR="00612AEE" w:rsidRPr="00E73989" w14:paraId="733D3ACC" w14:textId="77777777" w:rsidTr="00DF5849">
        <w:trPr>
          <w:trHeight w:val="213"/>
          <w:jc w:val="center"/>
        </w:trPr>
        <w:tc>
          <w:tcPr>
            <w:tcW w:w="2539" w:type="dxa"/>
            <w:shd w:val="clear" w:color="auto" w:fill="auto"/>
            <w:vAlign w:val="center"/>
            <w:hideMark/>
          </w:tcPr>
          <w:p w14:paraId="3454290E"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Literacy</w:t>
            </w:r>
          </w:p>
        </w:tc>
        <w:tc>
          <w:tcPr>
            <w:tcW w:w="5536" w:type="dxa"/>
            <w:shd w:val="clear" w:color="auto" w:fill="auto"/>
            <w:vAlign w:val="center"/>
            <w:hideMark/>
          </w:tcPr>
          <w:p w14:paraId="1BB7BF93"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76.6%</w:t>
            </w:r>
          </w:p>
        </w:tc>
      </w:tr>
      <w:tr w:rsidR="00612AEE" w:rsidRPr="00E73989" w14:paraId="7B3A8742" w14:textId="77777777" w:rsidTr="00DF5849">
        <w:trPr>
          <w:trHeight w:val="416"/>
          <w:jc w:val="center"/>
        </w:trPr>
        <w:tc>
          <w:tcPr>
            <w:tcW w:w="2539" w:type="dxa"/>
            <w:shd w:val="clear" w:color="auto" w:fill="auto"/>
            <w:vAlign w:val="center"/>
            <w:hideMark/>
          </w:tcPr>
          <w:p w14:paraId="0F05A07E"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Ethnic groups</w:t>
            </w:r>
          </w:p>
        </w:tc>
        <w:tc>
          <w:tcPr>
            <w:tcW w:w="5536" w:type="dxa"/>
            <w:shd w:val="clear" w:color="auto" w:fill="auto"/>
            <w:vAlign w:val="center"/>
            <w:hideMark/>
          </w:tcPr>
          <w:p w14:paraId="65EAC954" w14:textId="77777777" w:rsidR="00612AEE" w:rsidRPr="00E73989" w:rsidRDefault="00612AEE" w:rsidP="00233C76">
            <w:pPr>
              <w:spacing w:after="0" w:line="240" w:lineRule="auto"/>
              <w:ind w:left="181"/>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Akan 47.5%, Mole-Dagbon 16.6%, Ewe 13.9%, Ga-Dangme 7.4%, Gurma 5.7%, Guan 3.7%, Grusi 2.5%, Mande 1.1%, other 1.4% (2010 est.)</w:t>
            </w:r>
          </w:p>
        </w:tc>
      </w:tr>
      <w:tr w:rsidR="00612AEE" w:rsidRPr="00E73989" w14:paraId="7C435EB5" w14:textId="77777777" w:rsidTr="00DF5849">
        <w:trPr>
          <w:trHeight w:val="416"/>
          <w:jc w:val="center"/>
        </w:trPr>
        <w:tc>
          <w:tcPr>
            <w:tcW w:w="2539" w:type="dxa"/>
            <w:shd w:val="clear" w:color="auto" w:fill="auto"/>
            <w:vAlign w:val="center"/>
          </w:tcPr>
          <w:p w14:paraId="0F63F6D3"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Religions</w:t>
            </w:r>
          </w:p>
        </w:tc>
        <w:tc>
          <w:tcPr>
            <w:tcW w:w="5536" w:type="dxa"/>
            <w:shd w:val="clear" w:color="auto" w:fill="auto"/>
            <w:vAlign w:val="center"/>
          </w:tcPr>
          <w:p w14:paraId="0900BC45" w14:textId="77777777" w:rsidR="00612AEE" w:rsidRPr="00E73989" w:rsidRDefault="00612AEE" w:rsidP="00233C76">
            <w:pPr>
              <w:spacing w:after="0" w:line="240" w:lineRule="auto"/>
              <w:ind w:left="181"/>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Christian 71.2% (Pentecostal/Charismatic 28.3%, Protestant 18.4%, Catholic 13.1%, other 11.4%), Muslim 17.6%, traditional 5.2%, other 0.8%, none 5.2% (2010 est.)</w:t>
            </w:r>
          </w:p>
        </w:tc>
      </w:tr>
      <w:tr w:rsidR="00612AEE" w:rsidRPr="00E73989" w14:paraId="1F2C8A4A" w14:textId="77777777" w:rsidTr="00DF5849">
        <w:trPr>
          <w:trHeight w:val="809"/>
          <w:jc w:val="center"/>
        </w:trPr>
        <w:tc>
          <w:tcPr>
            <w:tcW w:w="2539" w:type="dxa"/>
            <w:shd w:val="clear" w:color="auto" w:fill="auto"/>
            <w:vAlign w:val="center"/>
            <w:hideMark/>
          </w:tcPr>
          <w:p w14:paraId="3F953612"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Languages</w:t>
            </w:r>
          </w:p>
        </w:tc>
        <w:tc>
          <w:tcPr>
            <w:tcW w:w="5536" w:type="dxa"/>
            <w:shd w:val="clear" w:color="auto" w:fill="auto"/>
            <w:vAlign w:val="center"/>
            <w:hideMark/>
          </w:tcPr>
          <w:p w14:paraId="5A48352B" w14:textId="77777777" w:rsidR="00612AEE" w:rsidRPr="00E73989" w:rsidRDefault="00612AEE" w:rsidP="00233C76">
            <w:pPr>
              <w:spacing w:after="0" w:line="240" w:lineRule="auto"/>
              <w:ind w:left="181"/>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Asante 16%, Ewe 14%, Fante 11.6%, Boron (Brong) 4.9%, Dagomba 4.4%, Dangme 4.2%, Dagarte (Dagaba) 3.9%, Kokomba 3.5%, Akyem 3.2%, Ga 3.1%, other 31.2% (2010 est.)</w:t>
            </w:r>
          </w:p>
        </w:tc>
      </w:tr>
      <w:tr w:rsidR="00612AEE" w:rsidRPr="00E73989" w14:paraId="2D651407" w14:textId="77777777" w:rsidTr="00DF5849">
        <w:trPr>
          <w:trHeight w:val="201"/>
          <w:jc w:val="center"/>
        </w:trPr>
        <w:tc>
          <w:tcPr>
            <w:tcW w:w="2539" w:type="dxa"/>
            <w:shd w:val="clear" w:color="auto" w:fill="auto"/>
            <w:vAlign w:val="center"/>
            <w:hideMark/>
          </w:tcPr>
          <w:p w14:paraId="0AC2004B"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HDI (2020)</w:t>
            </w:r>
          </w:p>
        </w:tc>
        <w:tc>
          <w:tcPr>
            <w:tcW w:w="5536" w:type="dxa"/>
            <w:shd w:val="clear" w:color="auto" w:fill="auto"/>
            <w:vAlign w:val="center"/>
            <w:hideMark/>
          </w:tcPr>
          <w:p w14:paraId="4F91F4B1" w14:textId="77777777" w:rsidR="00612AEE" w:rsidRPr="00E73989" w:rsidRDefault="00612AEE" w:rsidP="00233C76">
            <w:pPr>
              <w:spacing w:after="0" w:line="240" w:lineRule="auto"/>
              <w:ind w:firstLineChars="100" w:firstLine="200"/>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0.611          (Ranked 138</w:t>
            </w:r>
            <w:r w:rsidRPr="00E73989">
              <w:rPr>
                <w:rFonts w:ascii="Helvetica" w:eastAsia="Times New Roman" w:hAnsi="Helvetica" w:cs="Helvetica"/>
                <w:color w:val="000000"/>
                <w:sz w:val="20"/>
                <w:szCs w:val="20"/>
                <w:vertAlign w:val="superscript"/>
              </w:rPr>
              <w:t>th</w:t>
            </w:r>
            <w:r w:rsidRPr="00E73989">
              <w:rPr>
                <w:rFonts w:ascii="Helvetica" w:eastAsia="Times New Roman" w:hAnsi="Helvetica" w:cs="Helvetica"/>
                <w:color w:val="000000"/>
                <w:sz w:val="20"/>
                <w:szCs w:val="20"/>
              </w:rPr>
              <w:t xml:space="preserve">) </w:t>
            </w:r>
          </w:p>
        </w:tc>
      </w:tr>
    </w:tbl>
    <w:p w14:paraId="19BE0F56" w14:textId="6637AAB1" w:rsidR="00612AEE" w:rsidRPr="00E73989" w:rsidRDefault="00DF5849" w:rsidP="00612AEE">
      <w:pPr>
        <w:spacing w:after="0"/>
        <w:ind w:left="709"/>
        <w:jc w:val="both"/>
        <w:rPr>
          <w:rFonts w:ascii="Arial Narrow" w:eastAsia="Times New Roman" w:hAnsi="Arial Narrow" w:cs="Helvetica"/>
          <w:i/>
          <w:sz w:val="18"/>
          <w:szCs w:val="18"/>
        </w:rPr>
      </w:pPr>
      <w:r>
        <w:rPr>
          <w:rFonts w:ascii="Arial Narrow" w:eastAsia="Times New Roman" w:hAnsi="Arial Narrow" w:cs="Helvetica"/>
          <w:i/>
          <w:sz w:val="18"/>
          <w:szCs w:val="18"/>
        </w:rPr>
        <w:t xml:space="preserve"> </w:t>
      </w:r>
      <w:r w:rsidRPr="00DF5849">
        <w:rPr>
          <w:rFonts w:ascii="Helvetica" w:eastAsia="Times New Roman" w:hAnsi="Helvetica" w:cs="Helvetica"/>
          <w:i/>
          <w:sz w:val="16"/>
          <w:szCs w:val="16"/>
        </w:rPr>
        <w:t>Sources: CIA World Factbook</w:t>
      </w:r>
      <w:r w:rsidR="00612AEE" w:rsidRPr="00DF5849">
        <w:rPr>
          <w:rFonts w:ascii="Helvetica" w:eastAsia="Times New Roman" w:hAnsi="Helvetica" w:cs="Helvetica"/>
          <w:i/>
          <w:sz w:val="16"/>
          <w:szCs w:val="16"/>
        </w:rPr>
        <w:t xml:space="preserve"> </w:t>
      </w:r>
      <w:r w:rsidRPr="00DF5849">
        <w:rPr>
          <w:rFonts w:ascii="Helvetica" w:eastAsia="Times New Roman" w:hAnsi="Helvetica" w:cs="Helvetica"/>
          <w:i/>
          <w:sz w:val="16"/>
          <w:szCs w:val="16"/>
        </w:rPr>
        <w:t>(</w:t>
      </w:r>
      <w:r w:rsidR="00612AEE" w:rsidRPr="00DF5849">
        <w:rPr>
          <w:rFonts w:ascii="Helvetica" w:eastAsia="Times New Roman" w:hAnsi="Helvetica" w:cs="Helvetica"/>
          <w:i/>
          <w:sz w:val="16"/>
          <w:szCs w:val="16"/>
        </w:rPr>
        <w:t>2021</w:t>
      </w:r>
      <w:r w:rsidRPr="00DF5849">
        <w:rPr>
          <w:rFonts w:ascii="Helvetica" w:eastAsia="Times New Roman" w:hAnsi="Helvetica" w:cs="Helvetica"/>
          <w:i/>
          <w:sz w:val="16"/>
          <w:szCs w:val="16"/>
        </w:rPr>
        <w:t>); Human Development Indicators (</w:t>
      </w:r>
      <w:r w:rsidR="00612AEE" w:rsidRPr="00DF5849">
        <w:rPr>
          <w:rFonts w:ascii="Helvetica" w:eastAsia="Times New Roman" w:hAnsi="Helvetica" w:cs="Helvetica"/>
          <w:i/>
          <w:sz w:val="16"/>
          <w:szCs w:val="16"/>
        </w:rPr>
        <w:t>2021</w:t>
      </w:r>
      <w:r>
        <w:rPr>
          <w:rFonts w:ascii="Arial Narrow" w:eastAsia="Times New Roman" w:hAnsi="Arial Narrow" w:cs="Helvetica"/>
          <w:i/>
          <w:sz w:val="18"/>
          <w:szCs w:val="18"/>
        </w:rPr>
        <w:t>)</w:t>
      </w:r>
    </w:p>
    <w:p w14:paraId="7C12A292" w14:textId="53E16C84" w:rsidR="00612AEE" w:rsidRPr="00E73989" w:rsidRDefault="00612AEE" w:rsidP="00612AEE">
      <w:pPr>
        <w:spacing w:after="0"/>
        <w:jc w:val="both"/>
        <w:rPr>
          <w:rFonts w:ascii="Helvetica" w:eastAsia="Times New Roman" w:hAnsi="Helvetica" w:cs="Helvetica"/>
          <w:sz w:val="20"/>
          <w:szCs w:val="20"/>
        </w:rPr>
      </w:pPr>
    </w:p>
    <w:p w14:paraId="0A0CE510" w14:textId="318C77B0" w:rsidR="00612AEE" w:rsidRPr="00E73989" w:rsidRDefault="00612AEE" w:rsidP="00612AEE">
      <w:pPr>
        <w:spacing w:after="0"/>
        <w:jc w:val="both"/>
        <w:rPr>
          <w:rFonts w:ascii="Helvetica" w:eastAsia="Times New Roman" w:hAnsi="Helvetica" w:cs="Helvetica"/>
          <w:sz w:val="20"/>
          <w:szCs w:val="20"/>
        </w:rPr>
      </w:pPr>
    </w:p>
    <w:p w14:paraId="71F3B060" w14:textId="730862D6" w:rsidR="00612AEE" w:rsidRPr="00E73989" w:rsidRDefault="00A30941" w:rsidP="00612AEE">
      <w:pPr>
        <w:pStyle w:val="Heading1"/>
        <w:rPr>
          <w:sz w:val="22"/>
          <w:szCs w:val="22"/>
        </w:rPr>
      </w:pPr>
      <w:bookmarkStart w:id="2" w:name="_Toc87202379"/>
      <w:r w:rsidRPr="00E73989">
        <w:rPr>
          <w:sz w:val="22"/>
          <w:szCs w:val="22"/>
        </w:rPr>
        <w:lastRenderedPageBreak/>
        <w:t>Economic overview</w:t>
      </w:r>
      <w:bookmarkEnd w:id="2"/>
    </w:p>
    <w:p w14:paraId="2CC23E19" w14:textId="77777777" w:rsidR="00612AEE" w:rsidRPr="00E73989" w:rsidRDefault="00612AEE" w:rsidP="00612AEE">
      <w:pPr>
        <w:spacing w:after="0"/>
        <w:jc w:val="both"/>
        <w:rPr>
          <w:rFonts w:ascii="Helvetica" w:eastAsia="Calibri" w:hAnsi="Helvetica" w:cs="Helvetica"/>
          <w:sz w:val="20"/>
          <w:szCs w:val="20"/>
          <w:lang w:eastAsia="en-US"/>
        </w:rPr>
      </w:pPr>
      <w:bookmarkStart w:id="3" w:name="_Toc284408039"/>
      <w:bookmarkStart w:id="4" w:name="_Toc287971393"/>
      <w:r w:rsidRPr="00E73989">
        <w:rPr>
          <w:rFonts w:ascii="Helvetica" w:eastAsia="Calibri" w:hAnsi="Helvetica" w:cs="Helvetica"/>
          <w:sz w:val="20"/>
          <w:szCs w:val="20"/>
          <w:lang w:eastAsia="en-US"/>
        </w:rPr>
        <w:t xml:space="preserve">Ghana has a market-based economy with relatively few policy barriers to trade and investment in comparison with other countries in the region, and the country is endowed with natural resources. The economy was strengthened by a quarter century of relatively sound management, a competitive business environment, and sustained reductions in poverty levels, but in recent years has suffered the consequences of loose fiscal policy, high budget and current account deficits, and a depreciating currency. </w:t>
      </w:r>
    </w:p>
    <w:p w14:paraId="32D51C3A" w14:textId="77777777" w:rsidR="00612AEE" w:rsidRPr="00E73989" w:rsidRDefault="00612AEE" w:rsidP="00612AEE">
      <w:pPr>
        <w:spacing w:after="0"/>
        <w:jc w:val="both"/>
        <w:rPr>
          <w:rFonts w:ascii="Helvetica" w:eastAsia="Calibri" w:hAnsi="Helvetica" w:cs="Helvetica"/>
          <w:sz w:val="20"/>
          <w:szCs w:val="20"/>
          <w:lang w:eastAsia="en-US"/>
        </w:rPr>
      </w:pPr>
    </w:p>
    <w:p w14:paraId="34A89A10" w14:textId="77777777" w:rsidR="00612AEE" w:rsidRPr="00E73989" w:rsidRDefault="00612AEE" w:rsidP="00612AEE">
      <w:pPr>
        <w:spacing w:after="0"/>
        <w:jc w:val="both"/>
        <w:rPr>
          <w:rFonts w:ascii="Helvetica" w:eastAsia="Calibri" w:hAnsi="Helvetica" w:cs="Helvetica"/>
          <w:sz w:val="20"/>
          <w:szCs w:val="20"/>
          <w:lang w:eastAsia="en-US"/>
        </w:rPr>
      </w:pPr>
      <w:r w:rsidRPr="00E73989">
        <w:rPr>
          <w:rFonts w:ascii="Helvetica" w:eastAsia="Calibri" w:hAnsi="Helvetica" w:cs="Helvetica"/>
          <w:sz w:val="20"/>
          <w:szCs w:val="20"/>
          <w:lang w:eastAsia="en-US"/>
        </w:rPr>
        <w:t>The outbreak of the COVID-19 pandemic in 2020 hit the country. Growth slowed from 6.5% in 2019 to 0.4% in 2020, food prices spiked, and poverty increased. The economic outlook is improving, even though risks remain, including from the evolution of the pandemic and rising debt vulnerabilities. The fiscal deficit including energy and financial sector costs worsened to 15.2% of GDP, with a further 2.1% of GDP in additional spending financed through the accumulation of domestic arrears. Public debt rose to 79% of GDP. The current account deficit widened slightly to 3.1% of GDP as the decline in oil exports was partially offset by higher gold prices, resilient remittances, and weaker imports. The Ghanaian Cedi remained stable against the US dollar, partly due to central bank intervention, and gross international reserves remained at 3.2 months of imports. External and domestic financing conditions tightened considerably at the start of the pandemic, but have improved since, and Ghana successfully returned to international capital markets for a USD3bn Eurobond issuance in March 2021.</w:t>
      </w:r>
    </w:p>
    <w:p w14:paraId="432B2C1B" w14:textId="77777777" w:rsidR="00612AEE" w:rsidRPr="00E73989" w:rsidRDefault="00612AEE" w:rsidP="00612AEE">
      <w:pPr>
        <w:spacing w:after="0"/>
        <w:jc w:val="both"/>
        <w:rPr>
          <w:rFonts w:ascii="Helvetica" w:eastAsia="Calibri" w:hAnsi="Helvetica" w:cs="Helvetica"/>
          <w:sz w:val="20"/>
          <w:szCs w:val="20"/>
          <w:lang w:eastAsia="en-US"/>
        </w:rPr>
      </w:pPr>
    </w:p>
    <w:p w14:paraId="6A47EEE8" w14:textId="77777777" w:rsidR="00612AEE" w:rsidRPr="00E73989" w:rsidRDefault="00612AEE" w:rsidP="00612AEE">
      <w:pPr>
        <w:spacing w:after="0"/>
        <w:jc w:val="both"/>
        <w:rPr>
          <w:rFonts w:ascii="Helvetica" w:eastAsia="Calibri" w:hAnsi="Helvetica" w:cs="Helvetica"/>
          <w:sz w:val="20"/>
          <w:szCs w:val="20"/>
          <w:lang w:eastAsia="en-US"/>
        </w:rPr>
      </w:pPr>
      <w:r w:rsidRPr="00E73989">
        <w:rPr>
          <w:rFonts w:ascii="Helvetica" w:eastAsia="Calibri" w:hAnsi="Helvetica" w:cs="Helvetica"/>
          <w:sz w:val="20"/>
          <w:szCs w:val="20"/>
          <w:lang w:eastAsia="en-US"/>
        </w:rPr>
        <w:t>An economic recovery is underway. Growth is expected to rebound to 4.7% in 2021, supported by a strong cocoa season and mining and services activity, and inflation remaining within the Bank of Ghana target. The current account deficit is projected to improve to 2.2% of GDP, supported by a pickup in oil prices, and gross international reserves are expected to remain stable. The 2021 budget envisages a fiscal deficit of 13.9% of GDP in 2021, including energy and financial sector costs, and a gradual medium-term fiscal adjustment which would support a decline in public debt starting in 2024. However, this outlook is subject to significant uncertainty, including from new pandemic waves and risks associated with large financing needs and increasing public debt.</w:t>
      </w:r>
      <w:r w:rsidRPr="00E73989">
        <w:rPr>
          <w:rStyle w:val="FootnoteReference"/>
          <w:rFonts w:ascii="Helvetica" w:eastAsia="Calibri" w:hAnsi="Helvetica" w:cs="Helvetica"/>
          <w:sz w:val="20"/>
          <w:szCs w:val="20"/>
          <w:lang w:eastAsia="en-US"/>
        </w:rPr>
        <w:footnoteReference w:id="2"/>
      </w:r>
    </w:p>
    <w:p w14:paraId="64A53815" w14:textId="77777777" w:rsidR="00612AEE" w:rsidRPr="00B61FF3" w:rsidRDefault="00612AEE" w:rsidP="00612AEE">
      <w:pPr>
        <w:spacing w:after="0"/>
        <w:jc w:val="both"/>
        <w:rPr>
          <w:rFonts w:ascii="Helvetica" w:eastAsia="Calibri" w:hAnsi="Helvetica" w:cs="Helvetica"/>
          <w:sz w:val="20"/>
          <w:szCs w:val="20"/>
          <w:lang w:eastAsia="en-US"/>
        </w:rPr>
      </w:pPr>
    </w:p>
    <w:p w14:paraId="517FFF08" w14:textId="4030D4A9" w:rsidR="00B61FF3" w:rsidRPr="00B61FF3" w:rsidRDefault="00B61FF3" w:rsidP="00B61FF3">
      <w:pPr>
        <w:pStyle w:val="Caption"/>
        <w:keepNext/>
        <w:spacing w:after="0"/>
        <w:ind w:left="720" w:firstLine="720"/>
        <w:rPr>
          <w:rFonts w:ascii="Helvetica" w:hAnsi="Helvetica" w:cs="Helvetica"/>
        </w:rPr>
      </w:pPr>
      <w:r w:rsidRPr="00B61FF3">
        <w:rPr>
          <w:rFonts w:ascii="Helvetica" w:hAnsi="Helvetica" w:cs="Helvetica"/>
        </w:rPr>
        <w:t xml:space="preserve">Table </w:t>
      </w:r>
      <w:r w:rsidRPr="00B61FF3">
        <w:rPr>
          <w:rFonts w:ascii="Helvetica" w:hAnsi="Helvetica" w:cs="Helvetica"/>
        </w:rPr>
        <w:fldChar w:fldCharType="begin"/>
      </w:r>
      <w:r w:rsidRPr="00B61FF3">
        <w:rPr>
          <w:rFonts w:ascii="Helvetica" w:hAnsi="Helvetica" w:cs="Helvetica"/>
        </w:rPr>
        <w:instrText xml:space="preserve"> SEQ Table \* ARABIC </w:instrText>
      </w:r>
      <w:r w:rsidRPr="00B61FF3">
        <w:rPr>
          <w:rFonts w:ascii="Helvetica" w:hAnsi="Helvetica" w:cs="Helvetica"/>
        </w:rPr>
        <w:fldChar w:fldCharType="separate"/>
      </w:r>
      <w:r w:rsidR="00B66D27">
        <w:rPr>
          <w:rFonts w:ascii="Helvetica" w:hAnsi="Helvetica" w:cs="Helvetica"/>
          <w:noProof/>
        </w:rPr>
        <w:t>2</w:t>
      </w:r>
      <w:r w:rsidRPr="00B61FF3">
        <w:rPr>
          <w:rFonts w:ascii="Helvetica" w:hAnsi="Helvetica" w:cs="Helvetica"/>
        </w:rPr>
        <w:fldChar w:fldCharType="end"/>
      </w:r>
      <w:r w:rsidRPr="00B61FF3">
        <w:rPr>
          <w:rFonts w:ascii="Helvetica" w:hAnsi="Helvetica" w:cs="Helvetica"/>
        </w:rPr>
        <w:t>: Economic information</w:t>
      </w:r>
    </w:p>
    <w:tbl>
      <w:tblPr>
        <w:tblStyle w:val="TableGrid52"/>
        <w:tblW w:w="6677" w:type="dxa"/>
        <w:jc w:val="center"/>
        <w:tblLook w:val="04A0" w:firstRow="1" w:lastRow="0" w:firstColumn="1" w:lastColumn="0" w:noHBand="0" w:noVBand="1"/>
      </w:tblPr>
      <w:tblGrid>
        <w:gridCol w:w="5023"/>
        <w:gridCol w:w="1654"/>
      </w:tblGrid>
      <w:tr w:rsidR="00612AEE" w:rsidRPr="00E73989" w14:paraId="10C5CCE0" w14:textId="77777777" w:rsidTr="00B61FF3">
        <w:trPr>
          <w:trHeight w:val="254"/>
          <w:jc w:val="center"/>
        </w:trPr>
        <w:tc>
          <w:tcPr>
            <w:tcW w:w="5023" w:type="dxa"/>
            <w:noWrap/>
            <w:vAlign w:val="center"/>
            <w:hideMark/>
          </w:tcPr>
          <w:p w14:paraId="7DC23988" w14:textId="77777777" w:rsidR="00612AEE" w:rsidRPr="00E73989" w:rsidRDefault="00612AEE" w:rsidP="00233C76">
            <w:pPr>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GDP, constant prices (national currency) (2021 est.)</w:t>
            </w:r>
          </w:p>
        </w:tc>
        <w:tc>
          <w:tcPr>
            <w:tcW w:w="1654" w:type="dxa"/>
            <w:noWrap/>
            <w:vAlign w:val="center"/>
          </w:tcPr>
          <w:p w14:paraId="1F260620" w14:textId="77777777" w:rsidR="00612AEE" w:rsidRPr="00E73989" w:rsidRDefault="00612AEE" w:rsidP="00233C76">
            <w:pPr>
              <w:jc w:val="right"/>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GHS173.82bn</w:t>
            </w:r>
          </w:p>
        </w:tc>
      </w:tr>
      <w:tr w:rsidR="00612AEE" w:rsidRPr="00E73989" w14:paraId="7418C314" w14:textId="77777777" w:rsidTr="00B61FF3">
        <w:trPr>
          <w:trHeight w:val="254"/>
          <w:jc w:val="center"/>
        </w:trPr>
        <w:tc>
          <w:tcPr>
            <w:tcW w:w="5023" w:type="dxa"/>
            <w:noWrap/>
            <w:vAlign w:val="center"/>
            <w:hideMark/>
          </w:tcPr>
          <w:p w14:paraId="0F515949" w14:textId="77777777" w:rsidR="00612AEE" w:rsidRPr="00E73989" w:rsidRDefault="00612AEE" w:rsidP="00233C76">
            <w:pPr>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Real GDP growth (2021 est.)</w:t>
            </w:r>
          </w:p>
        </w:tc>
        <w:tc>
          <w:tcPr>
            <w:tcW w:w="1654" w:type="dxa"/>
            <w:noWrap/>
            <w:vAlign w:val="center"/>
          </w:tcPr>
          <w:p w14:paraId="3EDB09EE" w14:textId="77777777" w:rsidR="00612AEE" w:rsidRPr="00E73989" w:rsidRDefault="00612AEE" w:rsidP="00233C76">
            <w:pPr>
              <w:jc w:val="right"/>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4.7%</w:t>
            </w:r>
          </w:p>
        </w:tc>
      </w:tr>
      <w:tr w:rsidR="00612AEE" w:rsidRPr="00E73989" w14:paraId="6CA93138" w14:textId="77777777" w:rsidTr="00B61FF3">
        <w:trPr>
          <w:trHeight w:val="254"/>
          <w:jc w:val="center"/>
        </w:trPr>
        <w:tc>
          <w:tcPr>
            <w:tcW w:w="5023" w:type="dxa"/>
            <w:noWrap/>
            <w:vAlign w:val="center"/>
            <w:hideMark/>
          </w:tcPr>
          <w:p w14:paraId="7500CB60" w14:textId="77777777" w:rsidR="00612AEE" w:rsidRPr="00E73989" w:rsidRDefault="00612AEE" w:rsidP="00233C76">
            <w:pPr>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 xml:space="preserve">GDP per capita, constant prices (2021 est.) </w:t>
            </w:r>
          </w:p>
        </w:tc>
        <w:tc>
          <w:tcPr>
            <w:tcW w:w="1654" w:type="dxa"/>
            <w:noWrap/>
            <w:vAlign w:val="center"/>
          </w:tcPr>
          <w:p w14:paraId="3A871E7B" w14:textId="77777777" w:rsidR="00612AEE" w:rsidRPr="00E73989" w:rsidRDefault="00612AEE" w:rsidP="00233C76">
            <w:pPr>
              <w:jc w:val="right"/>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GHS5, 556.33</w:t>
            </w:r>
          </w:p>
        </w:tc>
      </w:tr>
      <w:tr w:rsidR="00612AEE" w:rsidRPr="00E73989" w14:paraId="3906DB42" w14:textId="77777777" w:rsidTr="00B61FF3">
        <w:trPr>
          <w:trHeight w:val="254"/>
          <w:jc w:val="center"/>
        </w:trPr>
        <w:tc>
          <w:tcPr>
            <w:tcW w:w="5023" w:type="dxa"/>
            <w:noWrap/>
            <w:vAlign w:val="center"/>
            <w:hideMark/>
          </w:tcPr>
          <w:p w14:paraId="31D217B2" w14:textId="77777777" w:rsidR="00612AEE" w:rsidRPr="00E73989" w:rsidRDefault="00612AEE" w:rsidP="00233C76">
            <w:pPr>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Inflation, consumer average prices (2021 est.)</w:t>
            </w:r>
          </w:p>
        </w:tc>
        <w:tc>
          <w:tcPr>
            <w:tcW w:w="1654" w:type="dxa"/>
            <w:noWrap/>
            <w:vAlign w:val="center"/>
          </w:tcPr>
          <w:p w14:paraId="63E3E64C" w14:textId="77777777" w:rsidR="00612AEE" w:rsidRPr="00E73989" w:rsidRDefault="00612AEE" w:rsidP="00233C76">
            <w:pPr>
              <w:jc w:val="right"/>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10.6%</w:t>
            </w:r>
          </w:p>
        </w:tc>
      </w:tr>
      <w:tr w:rsidR="00612AEE" w:rsidRPr="00E73989" w14:paraId="0DF027A2" w14:textId="77777777" w:rsidTr="00B61FF3">
        <w:trPr>
          <w:trHeight w:val="254"/>
          <w:jc w:val="center"/>
        </w:trPr>
        <w:tc>
          <w:tcPr>
            <w:tcW w:w="5023" w:type="dxa"/>
            <w:noWrap/>
            <w:vAlign w:val="center"/>
            <w:hideMark/>
          </w:tcPr>
          <w:p w14:paraId="57165129" w14:textId="77777777" w:rsidR="00612AEE" w:rsidRPr="00E73989" w:rsidRDefault="00612AEE" w:rsidP="00233C76">
            <w:pPr>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BOG policy rate (27 September 2020)</w:t>
            </w:r>
          </w:p>
        </w:tc>
        <w:tc>
          <w:tcPr>
            <w:tcW w:w="1654" w:type="dxa"/>
            <w:noWrap/>
            <w:vAlign w:val="center"/>
          </w:tcPr>
          <w:p w14:paraId="0E34781A" w14:textId="77777777" w:rsidR="00612AEE" w:rsidRPr="00E73989" w:rsidRDefault="00612AEE" w:rsidP="00233C76">
            <w:pPr>
              <w:jc w:val="right"/>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13.50%</w:t>
            </w:r>
          </w:p>
        </w:tc>
      </w:tr>
      <w:tr w:rsidR="00612AEE" w:rsidRPr="00E73989" w14:paraId="0BA3B712" w14:textId="77777777" w:rsidTr="00B61FF3">
        <w:trPr>
          <w:trHeight w:val="254"/>
          <w:jc w:val="center"/>
        </w:trPr>
        <w:tc>
          <w:tcPr>
            <w:tcW w:w="5023" w:type="dxa"/>
            <w:noWrap/>
            <w:vAlign w:val="center"/>
            <w:hideMark/>
          </w:tcPr>
          <w:p w14:paraId="512D2F71" w14:textId="77777777" w:rsidR="00612AEE" w:rsidRPr="00E73989" w:rsidRDefault="00612AEE" w:rsidP="00233C76">
            <w:pPr>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Unemployment rate (2020)</w:t>
            </w:r>
          </w:p>
        </w:tc>
        <w:tc>
          <w:tcPr>
            <w:tcW w:w="1654" w:type="dxa"/>
            <w:noWrap/>
            <w:vAlign w:val="center"/>
          </w:tcPr>
          <w:p w14:paraId="4D81E7BA" w14:textId="77777777" w:rsidR="00612AEE" w:rsidRPr="00E73989" w:rsidRDefault="00612AEE" w:rsidP="00233C76">
            <w:pPr>
              <w:jc w:val="right"/>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4.53%</w:t>
            </w:r>
          </w:p>
        </w:tc>
      </w:tr>
      <w:tr w:rsidR="00612AEE" w:rsidRPr="00E73989" w14:paraId="0C967C25" w14:textId="77777777" w:rsidTr="00B61FF3">
        <w:trPr>
          <w:trHeight w:val="254"/>
          <w:jc w:val="center"/>
        </w:trPr>
        <w:tc>
          <w:tcPr>
            <w:tcW w:w="5023" w:type="dxa"/>
            <w:shd w:val="clear" w:color="auto" w:fill="auto"/>
            <w:noWrap/>
            <w:vAlign w:val="center"/>
            <w:hideMark/>
          </w:tcPr>
          <w:p w14:paraId="22B2E19E" w14:textId="77777777" w:rsidR="00612AEE" w:rsidRPr="00E73989" w:rsidRDefault="00612AEE" w:rsidP="00233C76">
            <w:pPr>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Total Exports (2020)</w:t>
            </w:r>
          </w:p>
        </w:tc>
        <w:tc>
          <w:tcPr>
            <w:tcW w:w="1654" w:type="dxa"/>
            <w:noWrap/>
            <w:vAlign w:val="center"/>
          </w:tcPr>
          <w:p w14:paraId="43862717" w14:textId="77777777" w:rsidR="00612AEE" w:rsidRPr="00E73989" w:rsidRDefault="00612AEE" w:rsidP="00233C76">
            <w:pPr>
              <w:jc w:val="right"/>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USD12.34bn</w:t>
            </w:r>
          </w:p>
        </w:tc>
      </w:tr>
      <w:tr w:rsidR="00612AEE" w:rsidRPr="00E73989" w14:paraId="121F4CF6" w14:textId="77777777" w:rsidTr="00B61FF3">
        <w:trPr>
          <w:trHeight w:val="254"/>
          <w:jc w:val="center"/>
        </w:trPr>
        <w:tc>
          <w:tcPr>
            <w:tcW w:w="5023" w:type="dxa"/>
            <w:noWrap/>
            <w:vAlign w:val="center"/>
            <w:hideMark/>
          </w:tcPr>
          <w:p w14:paraId="0425424E" w14:textId="77777777" w:rsidR="00612AEE" w:rsidRPr="00E73989" w:rsidRDefault="00612AEE" w:rsidP="00233C76">
            <w:pPr>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Total Imports (2020)</w:t>
            </w:r>
          </w:p>
        </w:tc>
        <w:tc>
          <w:tcPr>
            <w:tcW w:w="1654" w:type="dxa"/>
            <w:noWrap/>
            <w:vAlign w:val="center"/>
          </w:tcPr>
          <w:p w14:paraId="246D59EB" w14:textId="77777777" w:rsidR="00612AEE" w:rsidRPr="00E73989" w:rsidRDefault="00612AEE" w:rsidP="00233C76">
            <w:pPr>
              <w:jc w:val="right"/>
              <w:rPr>
                <w:rFonts w:ascii="Arial Narrow" w:eastAsia="Calibri" w:hAnsi="Arial Narrow" w:cs="Helvetica"/>
                <w:sz w:val="20"/>
                <w:szCs w:val="20"/>
                <w:lang w:eastAsia="en-US"/>
              </w:rPr>
            </w:pPr>
            <w:r w:rsidRPr="00E73989">
              <w:rPr>
                <w:rFonts w:ascii="Arial Narrow" w:eastAsia="Calibri" w:hAnsi="Arial Narrow" w:cs="Helvetica"/>
                <w:sz w:val="20"/>
                <w:szCs w:val="20"/>
                <w:lang w:eastAsia="en-US"/>
              </w:rPr>
              <w:t>USD15.79bn</w:t>
            </w:r>
          </w:p>
        </w:tc>
      </w:tr>
    </w:tbl>
    <w:p w14:paraId="55D842DF" w14:textId="596628CD" w:rsidR="00612AEE" w:rsidRPr="00E73989" w:rsidRDefault="00612AEE" w:rsidP="00612AEE">
      <w:pPr>
        <w:spacing w:after="0"/>
        <w:jc w:val="both"/>
        <w:rPr>
          <w:rFonts w:ascii="Helvetica" w:eastAsia="Calibri" w:hAnsi="Helvetica" w:cs="Helvetica"/>
          <w:i/>
          <w:sz w:val="16"/>
          <w:szCs w:val="16"/>
          <w:lang w:eastAsia="en-US"/>
        </w:rPr>
      </w:pPr>
      <w:r w:rsidRPr="00E73989">
        <w:rPr>
          <w:rFonts w:ascii="Arial Narrow" w:eastAsia="Calibri" w:hAnsi="Arial Narrow" w:cs="Helvetica"/>
          <w:i/>
          <w:sz w:val="20"/>
          <w:szCs w:val="20"/>
          <w:lang w:eastAsia="en-US"/>
        </w:rPr>
        <w:t xml:space="preserve">          </w:t>
      </w:r>
      <w:r w:rsidRPr="00E73989">
        <w:rPr>
          <w:rFonts w:ascii="Arial Narrow" w:eastAsia="Calibri" w:hAnsi="Arial Narrow" w:cs="Helvetica"/>
          <w:i/>
          <w:sz w:val="20"/>
          <w:szCs w:val="20"/>
          <w:lang w:eastAsia="en-US"/>
        </w:rPr>
        <w:tab/>
      </w:r>
      <w:r w:rsidRPr="00E73989">
        <w:rPr>
          <w:rFonts w:ascii="Arial Narrow" w:eastAsia="Calibri" w:hAnsi="Arial Narrow" w:cs="Helvetica"/>
          <w:i/>
          <w:sz w:val="20"/>
          <w:szCs w:val="20"/>
          <w:lang w:eastAsia="en-US"/>
        </w:rPr>
        <w:tab/>
      </w:r>
      <w:r w:rsidRPr="00E73989">
        <w:rPr>
          <w:rFonts w:ascii="Helvetica" w:eastAsia="Calibri" w:hAnsi="Helvetica" w:cs="Helvetica"/>
          <w:i/>
          <w:sz w:val="16"/>
          <w:szCs w:val="16"/>
          <w:lang w:eastAsia="en-US"/>
        </w:rPr>
        <w:t xml:space="preserve">Sources: IMF </w:t>
      </w:r>
      <w:r w:rsidR="0096356E">
        <w:rPr>
          <w:rFonts w:ascii="Helvetica" w:eastAsia="Calibri" w:hAnsi="Helvetica" w:cs="Helvetica"/>
          <w:i/>
          <w:sz w:val="16"/>
          <w:szCs w:val="16"/>
          <w:lang w:eastAsia="en-US"/>
        </w:rPr>
        <w:t>(</w:t>
      </w:r>
      <w:r w:rsidRPr="00E73989">
        <w:rPr>
          <w:rFonts w:ascii="Helvetica" w:eastAsia="Calibri" w:hAnsi="Helvetica" w:cs="Helvetica"/>
          <w:i/>
          <w:sz w:val="16"/>
          <w:szCs w:val="16"/>
          <w:lang w:eastAsia="en-US"/>
        </w:rPr>
        <w:t>2021</w:t>
      </w:r>
      <w:r w:rsidR="0096356E">
        <w:rPr>
          <w:rFonts w:ascii="Helvetica" w:eastAsia="Calibri" w:hAnsi="Helvetica" w:cs="Helvetica"/>
          <w:i/>
          <w:sz w:val="16"/>
          <w:szCs w:val="16"/>
          <w:lang w:eastAsia="en-US"/>
        </w:rPr>
        <w:t>); ECB (</w:t>
      </w:r>
      <w:r w:rsidRPr="00E73989">
        <w:rPr>
          <w:rFonts w:ascii="Helvetica" w:eastAsia="Calibri" w:hAnsi="Helvetica" w:cs="Helvetica"/>
          <w:i/>
          <w:sz w:val="16"/>
          <w:szCs w:val="16"/>
          <w:lang w:eastAsia="en-US"/>
        </w:rPr>
        <w:t>2021</w:t>
      </w:r>
      <w:r w:rsidR="0096356E">
        <w:rPr>
          <w:rFonts w:ascii="Helvetica" w:eastAsia="Calibri" w:hAnsi="Helvetica" w:cs="Helvetica"/>
          <w:i/>
          <w:sz w:val="16"/>
          <w:szCs w:val="16"/>
          <w:lang w:eastAsia="en-US"/>
        </w:rPr>
        <w:t>); Global Edge (</w:t>
      </w:r>
      <w:r w:rsidRPr="00E73989">
        <w:rPr>
          <w:rFonts w:ascii="Helvetica" w:eastAsia="Calibri" w:hAnsi="Helvetica" w:cs="Helvetica"/>
          <w:i/>
          <w:sz w:val="16"/>
          <w:szCs w:val="16"/>
          <w:lang w:eastAsia="en-US"/>
        </w:rPr>
        <w:t>2021</w:t>
      </w:r>
      <w:r w:rsidR="0096356E">
        <w:rPr>
          <w:rFonts w:ascii="Helvetica" w:eastAsia="Calibri" w:hAnsi="Helvetica" w:cs="Helvetica"/>
          <w:i/>
          <w:sz w:val="16"/>
          <w:szCs w:val="16"/>
          <w:lang w:eastAsia="en-US"/>
        </w:rPr>
        <w:t>)</w:t>
      </w:r>
      <w:r w:rsidRPr="00E73989">
        <w:rPr>
          <w:rFonts w:ascii="Helvetica" w:eastAsia="Calibri" w:hAnsi="Helvetica" w:cs="Helvetica"/>
          <w:i/>
          <w:sz w:val="16"/>
          <w:szCs w:val="16"/>
          <w:lang w:eastAsia="en-US"/>
        </w:rPr>
        <w:t xml:space="preserve">; Trade Map </w:t>
      </w:r>
      <w:r w:rsidR="0096356E">
        <w:rPr>
          <w:rFonts w:ascii="Helvetica" w:eastAsia="Calibri" w:hAnsi="Helvetica" w:cs="Helvetica"/>
          <w:i/>
          <w:sz w:val="16"/>
          <w:szCs w:val="16"/>
          <w:lang w:eastAsia="en-US"/>
        </w:rPr>
        <w:t>(2021)</w:t>
      </w:r>
    </w:p>
    <w:bookmarkEnd w:id="3"/>
    <w:bookmarkEnd w:id="4"/>
    <w:p w14:paraId="648A461E" w14:textId="748BD88B" w:rsidR="00612AEE" w:rsidRPr="00E73989" w:rsidRDefault="00612AEE" w:rsidP="00A30941">
      <w:pPr>
        <w:spacing w:after="0"/>
        <w:rPr>
          <w:rFonts w:ascii="Helvetica" w:eastAsia="Calibri" w:hAnsi="Helvetica" w:cs="Helvetica"/>
          <w:sz w:val="20"/>
          <w:szCs w:val="20"/>
          <w:lang w:eastAsia="en-US"/>
        </w:rPr>
      </w:pPr>
    </w:p>
    <w:p w14:paraId="27B0D653" w14:textId="77777777" w:rsidR="00612AEE" w:rsidRPr="00E73989" w:rsidRDefault="00612AEE" w:rsidP="00612AEE">
      <w:pPr>
        <w:spacing w:after="0"/>
        <w:jc w:val="both"/>
        <w:rPr>
          <w:rFonts w:ascii="Helvetica" w:eastAsia="Calibri" w:hAnsi="Helvetica" w:cs="Helvetica"/>
          <w:sz w:val="20"/>
          <w:szCs w:val="20"/>
          <w:lang w:eastAsia="en-US"/>
        </w:rPr>
      </w:pPr>
      <w:r w:rsidRPr="00E73989">
        <w:rPr>
          <w:rFonts w:ascii="Helvetica" w:eastAsia="Calibri" w:hAnsi="Helvetica" w:cs="Helvetica"/>
          <w:sz w:val="20"/>
          <w:szCs w:val="20"/>
          <w:lang w:eastAsia="en-US"/>
        </w:rPr>
        <w:t>The pandemic had a severe impact on economic activity in Ghana. Growth slowed to 0.4% in 2020 from 6.5% in 2019, food prices spiked, and poverty increased. Growth is expected to rebound to 4.7% in 2021, supported by a strong cocoa season and mining and services activity.</w:t>
      </w:r>
      <w:r w:rsidRPr="00E73989">
        <w:rPr>
          <w:rStyle w:val="FootnoteReference"/>
          <w:rFonts w:ascii="Helvetica" w:eastAsia="Calibri" w:hAnsi="Helvetica" w:cs="Helvetica"/>
          <w:sz w:val="20"/>
          <w:szCs w:val="20"/>
          <w:lang w:eastAsia="en-US"/>
        </w:rPr>
        <w:footnoteReference w:id="3"/>
      </w:r>
    </w:p>
    <w:p w14:paraId="461AF76F" w14:textId="742663A5" w:rsidR="00612AEE" w:rsidRPr="0096356E" w:rsidRDefault="00612AEE" w:rsidP="00612AEE">
      <w:pPr>
        <w:spacing w:after="0"/>
        <w:jc w:val="both"/>
        <w:rPr>
          <w:rFonts w:ascii="Helvetica" w:eastAsia="Calibri" w:hAnsi="Helvetica" w:cs="Helvetica"/>
          <w:sz w:val="20"/>
          <w:szCs w:val="20"/>
          <w:lang w:eastAsia="en-US"/>
        </w:rPr>
      </w:pPr>
    </w:p>
    <w:p w14:paraId="7FC9957E" w14:textId="07923A55" w:rsidR="00A30941" w:rsidRPr="0096356E" w:rsidRDefault="00A30941" w:rsidP="00612AEE">
      <w:pPr>
        <w:spacing w:after="0"/>
        <w:jc w:val="both"/>
        <w:rPr>
          <w:rFonts w:ascii="Helvetica" w:eastAsia="Calibri" w:hAnsi="Helvetica" w:cs="Helvetica"/>
          <w:sz w:val="20"/>
          <w:szCs w:val="20"/>
          <w:lang w:eastAsia="en-US"/>
        </w:rPr>
      </w:pPr>
    </w:p>
    <w:p w14:paraId="0FD4964A" w14:textId="03EEFC5E" w:rsidR="00A30941" w:rsidRPr="0096356E" w:rsidRDefault="00A30941" w:rsidP="00612AEE">
      <w:pPr>
        <w:spacing w:after="0"/>
        <w:jc w:val="both"/>
        <w:rPr>
          <w:rFonts w:ascii="Helvetica" w:eastAsia="Calibri" w:hAnsi="Helvetica" w:cs="Helvetica"/>
          <w:sz w:val="20"/>
          <w:szCs w:val="20"/>
          <w:lang w:eastAsia="en-US"/>
        </w:rPr>
      </w:pPr>
    </w:p>
    <w:p w14:paraId="02545C39" w14:textId="68A8B67A" w:rsidR="00A30941" w:rsidRPr="0096356E" w:rsidRDefault="00A30941" w:rsidP="00612AEE">
      <w:pPr>
        <w:spacing w:after="0"/>
        <w:jc w:val="both"/>
        <w:rPr>
          <w:rFonts w:ascii="Helvetica" w:eastAsia="Calibri" w:hAnsi="Helvetica" w:cs="Helvetica"/>
          <w:sz w:val="20"/>
          <w:szCs w:val="20"/>
          <w:lang w:eastAsia="en-US"/>
        </w:rPr>
      </w:pPr>
    </w:p>
    <w:p w14:paraId="2B6D6074" w14:textId="35A9FB82" w:rsidR="00A30941" w:rsidRPr="0096356E" w:rsidRDefault="00A30941" w:rsidP="00612AEE">
      <w:pPr>
        <w:spacing w:after="0"/>
        <w:jc w:val="both"/>
        <w:rPr>
          <w:rFonts w:ascii="Helvetica" w:eastAsia="Calibri" w:hAnsi="Helvetica" w:cs="Helvetica"/>
          <w:sz w:val="20"/>
          <w:szCs w:val="20"/>
          <w:lang w:eastAsia="en-US"/>
        </w:rPr>
      </w:pPr>
    </w:p>
    <w:p w14:paraId="13932988" w14:textId="1F73DFCD" w:rsidR="00612AEE" w:rsidRPr="00E73989" w:rsidRDefault="00612AEE" w:rsidP="0096356E">
      <w:pPr>
        <w:spacing w:after="0"/>
        <w:rPr>
          <w:rFonts w:ascii="Arial Narrow" w:eastAsia="Calibri" w:hAnsi="Arial Narrow" w:cs="Helvetica"/>
          <w:b/>
          <w:sz w:val="20"/>
          <w:szCs w:val="20"/>
          <w:lang w:eastAsia="en-US"/>
        </w:rPr>
      </w:pPr>
    </w:p>
    <w:p w14:paraId="337FAECE" w14:textId="58C23B3E" w:rsidR="0096356E" w:rsidRPr="0096356E" w:rsidRDefault="0096356E" w:rsidP="0096356E">
      <w:pPr>
        <w:pStyle w:val="Caption"/>
        <w:keepNext/>
        <w:spacing w:after="0"/>
        <w:rPr>
          <w:rFonts w:ascii="Helvetica" w:hAnsi="Helvetica" w:cs="Helvetica"/>
        </w:rPr>
      </w:pPr>
      <w:r w:rsidRPr="0096356E">
        <w:rPr>
          <w:rFonts w:ascii="Helvetica" w:hAnsi="Helvetica" w:cs="Helvetica"/>
        </w:rPr>
        <w:lastRenderedPageBreak/>
        <w:t xml:space="preserve">Figure </w:t>
      </w:r>
      <w:r w:rsidRPr="0096356E">
        <w:rPr>
          <w:rFonts w:ascii="Helvetica" w:hAnsi="Helvetica" w:cs="Helvetica"/>
        </w:rPr>
        <w:fldChar w:fldCharType="begin"/>
      </w:r>
      <w:r w:rsidRPr="0096356E">
        <w:rPr>
          <w:rFonts w:ascii="Helvetica" w:hAnsi="Helvetica" w:cs="Helvetica"/>
        </w:rPr>
        <w:instrText xml:space="preserve"> SEQ Figure \* ARABIC </w:instrText>
      </w:r>
      <w:r w:rsidRPr="0096356E">
        <w:rPr>
          <w:rFonts w:ascii="Helvetica" w:hAnsi="Helvetica" w:cs="Helvetica"/>
        </w:rPr>
        <w:fldChar w:fldCharType="separate"/>
      </w:r>
      <w:r w:rsidR="003B149F">
        <w:rPr>
          <w:rFonts w:ascii="Helvetica" w:hAnsi="Helvetica" w:cs="Helvetica"/>
          <w:noProof/>
        </w:rPr>
        <w:t>1</w:t>
      </w:r>
      <w:r w:rsidRPr="0096356E">
        <w:rPr>
          <w:rFonts w:ascii="Helvetica" w:hAnsi="Helvetica" w:cs="Helvetica"/>
        </w:rPr>
        <w:fldChar w:fldCharType="end"/>
      </w:r>
      <w:r w:rsidRPr="0096356E">
        <w:rPr>
          <w:rFonts w:ascii="Helvetica" w:hAnsi="Helvetica" w:cs="Helvetica"/>
        </w:rPr>
        <w:t>: Ghana real GDP and GDP growth rate, 2016 – 2026f</w:t>
      </w:r>
    </w:p>
    <w:p w14:paraId="0FACEF78" w14:textId="5297BBDA" w:rsidR="00612AEE" w:rsidRPr="00E73989" w:rsidRDefault="00612AEE" w:rsidP="00612AEE">
      <w:pPr>
        <w:spacing w:after="0"/>
        <w:rPr>
          <w:rFonts w:ascii="Helvetica" w:hAnsi="Helvetica" w:cs="Helvetica"/>
          <w:i/>
          <w:sz w:val="20"/>
          <w:szCs w:val="20"/>
        </w:rPr>
      </w:pPr>
      <w:r w:rsidRPr="00E73989">
        <w:rPr>
          <w:noProof/>
        </w:rPr>
        <w:drawing>
          <wp:inline distT="0" distB="0" distL="0" distR="0" wp14:anchorId="0643AA67" wp14:editId="22DE773C">
            <wp:extent cx="6124755" cy="2461260"/>
            <wp:effectExtent l="0" t="0" r="9525" b="15240"/>
            <wp:docPr id="18" name="Chart 18">
              <a:extLst xmlns:a="http://schemas.openxmlformats.org/drawingml/2006/main">
                <a:ext uri="{FF2B5EF4-FFF2-40B4-BE49-F238E27FC236}">
                  <a16:creationId xmlns:a16="http://schemas.microsoft.com/office/drawing/2014/main" id="{AA8CEAB7-9936-44C2-96CE-EE54DAF01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96356E">
        <w:rPr>
          <w:rFonts w:ascii="Helvetica" w:hAnsi="Helvetica" w:cs="Helvetica"/>
          <w:i/>
          <w:sz w:val="16"/>
          <w:szCs w:val="16"/>
        </w:rPr>
        <w:t>Source: IMF (2021)</w:t>
      </w:r>
    </w:p>
    <w:p w14:paraId="786B96BF" w14:textId="77777777" w:rsidR="00612AEE" w:rsidRPr="00E73989" w:rsidRDefault="00612AEE" w:rsidP="00612AEE">
      <w:pPr>
        <w:spacing w:after="0"/>
        <w:jc w:val="both"/>
        <w:rPr>
          <w:rFonts w:ascii="Helvetica" w:eastAsia="Calibri" w:hAnsi="Helvetica" w:cs="Helvetica"/>
          <w:sz w:val="20"/>
          <w:szCs w:val="20"/>
          <w:lang w:eastAsia="en-US"/>
        </w:rPr>
      </w:pPr>
    </w:p>
    <w:p w14:paraId="52831A84" w14:textId="77777777" w:rsidR="00612AEE" w:rsidRPr="00E73989" w:rsidRDefault="00612AEE" w:rsidP="00612AEE">
      <w:pPr>
        <w:jc w:val="both"/>
        <w:rPr>
          <w:rFonts w:ascii="Helvetica" w:eastAsia="Calibri" w:hAnsi="Helvetica" w:cs="Helvetica"/>
          <w:sz w:val="20"/>
          <w:szCs w:val="20"/>
          <w:lang w:eastAsia="en-US"/>
        </w:rPr>
      </w:pPr>
      <w:r w:rsidRPr="00E73989">
        <w:rPr>
          <w:rFonts w:ascii="Helvetica" w:eastAsia="Calibri" w:hAnsi="Helvetica" w:cs="Helvetica"/>
          <w:sz w:val="20"/>
          <w:szCs w:val="20"/>
          <w:lang w:eastAsia="en-US"/>
        </w:rPr>
        <w:t>The services sector remained the largest sector of the Ghanaian economy in the first quarter of 2020 with a share of 48.3 percent of GDP at basic prices. The GDP share of industry and agriculture were 31.6 percent and 20.1 percent respectively.</w:t>
      </w:r>
    </w:p>
    <w:p w14:paraId="24BA4C19" w14:textId="326BDFF5" w:rsidR="0096356E" w:rsidRPr="0096356E" w:rsidRDefault="0096356E" w:rsidP="0096356E">
      <w:pPr>
        <w:pStyle w:val="Caption"/>
        <w:keepNext/>
        <w:spacing w:after="0"/>
        <w:ind w:left="1440"/>
        <w:rPr>
          <w:rFonts w:ascii="Helvetica" w:hAnsi="Helvetica" w:cs="Helvetica"/>
        </w:rPr>
      </w:pPr>
      <w:r>
        <w:rPr>
          <w:rFonts w:ascii="Helvetica" w:hAnsi="Helvetica" w:cs="Helvetica"/>
        </w:rPr>
        <w:t xml:space="preserve">    </w:t>
      </w:r>
      <w:r w:rsidRPr="0096356E">
        <w:rPr>
          <w:rFonts w:ascii="Helvetica" w:hAnsi="Helvetica" w:cs="Helvetica"/>
        </w:rPr>
        <w:t xml:space="preserve">Figure </w:t>
      </w:r>
      <w:r w:rsidRPr="0096356E">
        <w:rPr>
          <w:rFonts w:ascii="Helvetica" w:hAnsi="Helvetica" w:cs="Helvetica"/>
        </w:rPr>
        <w:fldChar w:fldCharType="begin"/>
      </w:r>
      <w:r w:rsidRPr="0096356E">
        <w:rPr>
          <w:rFonts w:ascii="Helvetica" w:hAnsi="Helvetica" w:cs="Helvetica"/>
        </w:rPr>
        <w:instrText xml:space="preserve"> SEQ Figure \* ARABIC </w:instrText>
      </w:r>
      <w:r w:rsidRPr="0096356E">
        <w:rPr>
          <w:rFonts w:ascii="Helvetica" w:hAnsi="Helvetica" w:cs="Helvetica"/>
        </w:rPr>
        <w:fldChar w:fldCharType="separate"/>
      </w:r>
      <w:r w:rsidR="003B149F">
        <w:rPr>
          <w:rFonts w:ascii="Helvetica" w:hAnsi="Helvetica" w:cs="Helvetica"/>
          <w:noProof/>
        </w:rPr>
        <w:t>2</w:t>
      </w:r>
      <w:r w:rsidRPr="0096356E">
        <w:rPr>
          <w:rFonts w:ascii="Helvetica" w:hAnsi="Helvetica" w:cs="Helvetica"/>
        </w:rPr>
        <w:fldChar w:fldCharType="end"/>
      </w:r>
      <w:r w:rsidRPr="0096356E">
        <w:rPr>
          <w:rFonts w:ascii="Helvetica" w:hAnsi="Helvetica" w:cs="Helvetica"/>
        </w:rPr>
        <w:t>: Contribution to gross value added: by industry, 2020</w:t>
      </w:r>
    </w:p>
    <w:p w14:paraId="0A9D20FC" w14:textId="6E07E1DA" w:rsidR="00612AEE" w:rsidRPr="00E73989" w:rsidRDefault="00612AEE" w:rsidP="00233C76">
      <w:pPr>
        <w:spacing w:after="0"/>
        <w:jc w:val="center"/>
        <w:rPr>
          <w:rFonts w:ascii="Arial Narrow" w:eastAsia="Calibri" w:hAnsi="Arial Narrow" w:cs="Helvetica"/>
          <w:b/>
          <w:bCs/>
          <w:sz w:val="20"/>
          <w:szCs w:val="20"/>
          <w:lang w:eastAsia="en-US"/>
        </w:rPr>
      </w:pPr>
      <w:r w:rsidRPr="00E73989">
        <w:rPr>
          <w:noProof/>
        </w:rPr>
        <w:drawing>
          <wp:inline distT="0" distB="0" distL="0" distR="0" wp14:anchorId="55A6076A" wp14:editId="017CA402">
            <wp:extent cx="4063042" cy="3168388"/>
            <wp:effectExtent l="0" t="0" r="0" b="0"/>
            <wp:docPr id="19" name="Picture 1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a:blip r:embed="rId12"/>
                    <a:stretch>
                      <a:fillRect/>
                    </a:stretch>
                  </pic:blipFill>
                  <pic:spPr>
                    <a:xfrm>
                      <a:off x="0" y="0"/>
                      <a:ext cx="4094269" cy="3192739"/>
                    </a:xfrm>
                    <a:prstGeom prst="rect">
                      <a:avLst/>
                    </a:prstGeom>
                  </pic:spPr>
                </pic:pic>
              </a:graphicData>
            </a:graphic>
          </wp:inline>
        </w:drawing>
      </w:r>
      <w:bookmarkStart w:id="5" w:name="_Toc35269641"/>
    </w:p>
    <w:p w14:paraId="49070DA8" w14:textId="628B729A" w:rsidR="00612AEE" w:rsidRPr="00E73989" w:rsidRDefault="00612AEE" w:rsidP="00233C76">
      <w:pPr>
        <w:spacing w:after="0"/>
        <w:rPr>
          <w:rFonts w:ascii="Arial Narrow" w:hAnsi="Arial Narrow" w:cs="Helvetica"/>
          <w:i/>
          <w:sz w:val="18"/>
          <w:szCs w:val="18"/>
        </w:rPr>
      </w:pPr>
      <w:r w:rsidRPr="00E73989">
        <w:rPr>
          <w:rFonts w:ascii="Arial Narrow" w:hAnsi="Arial Narrow" w:cs="Helvetica"/>
          <w:i/>
          <w:sz w:val="18"/>
          <w:szCs w:val="18"/>
        </w:rPr>
        <w:t xml:space="preserve">                                   </w:t>
      </w:r>
      <w:r w:rsidR="0096356E">
        <w:rPr>
          <w:rFonts w:ascii="Arial Narrow" w:hAnsi="Arial Narrow" w:cs="Helvetica"/>
          <w:i/>
          <w:sz w:val="18"/>
          <w:szCs w:val="18"/>
        </w:rPr>
        <w:t xml:space="preserve">   </w:t>
      </w:r>
      <w:r w:rsidRPr="00E73989">
        <w:rPr>
          <w:rFonts w:ascii="Arial Narrow" w:hAnsi="Arial Narrow" w:cs="Helvetica"/>
          <w:i/>
          <w:sz w:val="18"/>
          <w:szCs w:val="18"/>
        </w:rPr>
        <w:t xml:space="preserve">  Source: Ghana Statistical Services, 2020</w:t>
      </w:r>
    </w:p>
    <w:p w14:paraId="7E6E490F" w14:textId="77777777" w:rsidR="00233C76" w:rsidRPr="00E73989" w:rsidRDefault="00233C76" w:rsidP="00233C76">
      <w:pPr>
        <w:spacing w:after="0"/>
        <w:rPr>
          <w:rFonts w:ascii="Helvetica" w:eastAsia="Calibri" w:hAnsi="Helvetica" w:cs="Helvetica"/>
          <w:sz w:val="20"/>
          <w:szCs w:val="20"/>
          <w:lang w:eastAsia="en-US"/>
        </w:rPr>
      </w:pPr>
    </w:p>
    <w:p w14:paraId="2EA3C305" w14:textId="344BBE55" w:rsidR="00612AEE" w:rsidRPr="00E73989" w:rsidRDefault="00A30941" w:rsidP="00A30941">
      <w:pPr>
        <w:pStyle w:val="Heading2"/>
        <w:numPr>
          <w:ilvl w:val="1"/>
          <w:numId w:val="3"/>
        </w:numPr>
        <w:ind w:left="426" w:hanging="426"/>
      </w:pPr>
      <w:bookmarkStart w:id="6" w:name="_Toc87202380"/>
      <w:bookmarkEnd w:id="5"/>
      <w:r w:rsidRPr="00E73989">
        <w:t>Ghana sovereign credit rating</w:t>
      </w:r>
      <w:bookmarkEnd w:id="6"/>
    </w:p>
    <w:p w14:paraId="5B7D5A40" w14:textId="509FC905" w:rsidR="00612AEE" w:rsidRDefault="00612AEE" w:rsidP="00B66D27">
      <w:pPr>
        <w:spacing w:after="0"/>
        <w:jc w:val="both"/>
        <w:rPr>
          <w:rFonts w:ascii="Helvetica" w:hAnsi="Helvetica" w:cs="Helvetica"/>
          <w:i/>
          <w:sz w:val="20"/>
          <w:szCs w:val="20"/>
        </w:rPr>
      </w:pPr>
      <w:r w:rsidRPr="00E73989">
        <w:rPr>
          <w:rFonts w:ascii="Helvetica" w:hAnsi="Helvetica" w:cs="Helvetica"/>
          <w:i/>
          <w:sz w:val="20"/>
          <w:szCs w:val="20"/>
        </w:rPr>
        <w:t xml:space="preserve">“A sovereign credit rating is the credit rating of a country or sovereign entity. Sovereign credit ratings give investors insight into the level of risk associated with investing in a particular country and include political risks. At the request of the country, a credit rating agency will evaluate the country’s economic and political environment to determine a representative credit rating” (Investopedia, 2020). </w:t>
      </w:r>
    </w:p>
    <w:p w14:paraId="1CEF9FB5" w14:textId="77777777" w:rsidR="00B66D27" w:rsidRPr="00B66D27" w:rsidRDefault="00B66D27" w:rsidP="00B66D27">
      <w:pPr>
        <w:spacing w:after="0"/>
        <w:jc w:val="both"/>
        <w:rPr>
          <w:rFonts w:ascii="Helvetica" w:hAnsi="Helvetica" w:cs="Helvetica"/>
          <w:sz w:val="20"/>
          <w:szCs w:val="20"/>
        </w:rPr>
      </w:pPr>
    </w:p>
    <w:p w14:paraId="72FC355E" w14:textId="77777777" w:rsidR="00612AEE" w:rsidRPr="00E73989" w:rsidRDefault="00612AEE" w:rsidP="00612AEE">
      <w:pPr>
        <w:spacing w:after="0"/>
        <w:jc w:val="both"/>
        <w:rPr>
          <w:rFonts w:ascii="Helvetica" w:hAnsi="Helvetica" w:cs="Helvetica"/>
          <w:sz w:val="20"/>
          <w:szCs w:val="20"/>
        </w:rPr>
      </w:pPr>
      <w:r w:rsidRPr="00E73989">
        <w:rPr>
          <w:rFonts w:ascii="Helvetica" w:hAnsi="Helvetica" w:cs="Helvetica"/>
          <w:sz w:val="20"/>
          <w:szCs w:val="20"/>
        </w:rPr>
        <w:t xml:space="preserve">While a number of credit agencies exist, the three most recognised credit ratings agencies globally are Fitch Ratings, Moody’s Investors Services (Moody’s) and Standard &amp; Poor’s (S&amp;P). Reasons for a country/sovereign to seek a credit rating from one of these three agencies include not only to access funding in international bond markets via the issuance of bonds in external debt markets, but it is a means to attract foreign direct </w:t>
      </w:r>
      <w:r w:rsidRPr="00E73989">
        <w:rPr>
          <w:rFonts w:ascii="Helvetica" w:hAnsi="Helvetica" w:cs="Helvetica"/>
          <w:sz w:val="20"/>
          <w:szCs w:val="20"/>
        </w:rPr>
        <w:lastRenderedPageBreak/>
        <w:t xml:space="preserve">investment. Obtaining a good sovereign credit rating instils confidence in investors seeking to invest in that country, with the credit rating a means for the country to demonstrate financial transparency and credit standing. Two key rating ‘standards’ exist, with the highest possible rating category being “AAA” according to S&amp;P, which indicates that the rated country has extremely strong capacity to meet its financial commitments. A wide range of rating categories exists below this, with the categories ranging all the way down to SD (i.e., defaulted), which means the rated country has failed to pay one or more of its financial obligations when it came due. </w:t>
      </w:r>
    </w:p>
    <w:p w14:paraId="50985B79" w14:textId="77777777" w:rsidR="00612AEE" w:rsidRPr="00E73989" w:rsidRDefault="00612AEE" w:rsidP="00612AEE">
      <w:pPr>
        <w:spacing w:after="0"/>
        <w:jc w:val="both"/>
        <w:rPr>
          <w:rFonts w:ascii="Helvetica" w:hAnsi="Helvetica" w:cs="Helvetica"/>
          <w:sz w:val="20"/>
          <w:szCs w:val="20"/>
        </w:rPr>
      </w:pPr>
    </w:p>
    <w:p w14:paraId="7FFA0267" w14:textId="77777777" w:rsidR="00612AEE" w:rsidRPr="00E73989" w:rsidRDefault="00612AEE" w:rsidP="00612AEE">
      <w:pPr>
        <w:spacing w:after="0"/>
        <w:jc w:val="both"/>
        <w:rPr>
          <w:rFonts w:ascii="Helvetica" w:hAnsi="Helvetica" w:cs="Helvetica"/>
          <w:sz w:val="20"/>
          <w:szCs w:val="20"/>
        </w:rPr>
      </w:pPr>
      <w:r w:rsidRPr="00E73989">
        <w:rPr>
          <w:rFonts w:ascii="Helvetica" w:hAnsi="Helvetica" w:cs="Helvetica"/>
          <w:sz w:val="20"/>
          <w:szCs w:val="20"/>
        </w:rPr>
        <w:t>Recently, on 3 September 2021, Moody's rated Ghana’s long-term issuer with a rating of B3 and the outlook remained negative. The B3 rating and negative outlook reflect Ghana's high debt burden that is unlikely to fall rapidly, continued weak debt affordability, high gross borrowing requirements and ongoing liquidity challenges in the face of downside economic, social and financial risks in the aftermath of the coronavirus pandemic. The rating affirmation also takes into account improving growth prospects, resilient external sector performance and Ghana's continued access to domestic and international capital markets, supported by the government's structural economic reform agenda to improve export competitiveness and broaden the revenue base.</w:t>
      </w:r>
    </w:p>
    <w:p w14:paraId="353B1444" w14:textId="77777777" w:rsidR="00612AEE" w:rsidRPr="00E73989" w:rsidRDefault="00612AEE" w:rsidP="00612AEE">
      <w:pPr>
        <w:spacing w:after="0"/>
        <w:jc w:val="both"/>
        <w:rPr>
          <w:rFonts w:ascii="Helvetica" w:hAnsi="Helvetica" w:cs="Helvetica"/>
          <w:sz w:val="20"/>
          <w:szCs w:val="20"/>
        </w:rPr>
      </w:pPr>
    </w:p>
    <w:p w14:paraId="36854F71" w14:textId="77777777" w:rsidR="00612AEE" w:rsidRPr="00E73989" w:rsidRDefault="00612AEE" w:rsidP="00612AEE">
      <w:pPr>
        <w:spacing w:after="0"/>
        <w:jc w:val="both"/>
        <w:rPr>
          <w:rFonts w:ascii="Helvetica" w:hAnsi="Helvetica" w:cs="Helvetica"/>
          <w:sz w:val="20"/>
          <w:szCs w:val="20"/>
        </w:rPr>
      </w:pPr>
      <w:r w:rsidRPr="00E73989">
        <w:rPr>
          <w:rFonts w:ascii="Helvetica" w:hAnsi="Helvetica" w:cs="Helvetica"/>
          <w:sz w:val="20"/>
          <w:szCs w:val="20"/>
        </w:rPr>
        <w:t>On 12 September 2021, S&amp;P gave Ghana a rating of B-. The agency considered Ghana's improving growth prospects, resilient external sector performance, and continued access to the capital markets [domestic and international] as essential factors in maintaining the rating and the outlook. Notably, the agency recognized the efforts of Government to “build back better” through the innovative Ghana CARES (Obaatanpa) Programme. However, concerns were raised about Ghana's debt affordability and levels. Citing that the COVID-19 pandemic will exacerbate Ghana's fiscal challenges, with government debt increasing to over 70% of GDP in 2020 and interest payments consuming half of fiscal revenue. Weaker tax revenue and slow economic activity are expected to widen the government's fiscal deficit to about 13.5%, which is one of the weakest levels among rated sovereigns in Africa, the rating agency said.</w:t>
      </w:r>
    </w:p>
    <w:p w14:paraId="33457A9E" w14:textId="77777777" w:rsidR="00612AEE" w:rsidRPr="00E73989" w:rsidRDefault="00612AEE" w:rsidP="00612AEE">
      <w:pPr>
        <w:spacing w:after="0"/>
        <w:jc w:val="both"/>
        <w:rPr>
          <w:rFonts w:ascii="Helvetica" w:hAnsi="Helvetica" w:cs="Helvetica"/>
          <w:sz w:val="20"/>
          <w:szCs w:val="20"/>
        </w:rPr>
      </w:pPr>
    </w:p>
    <w:p w14:paraId="0B7DCDB4" w14:textId="77777777" w:rsidR="00612AEE" w:rsidRPr="00E73989" w:rsidRDefault="00612AEE" w:rsidP="00612AEE">
      <w:pPr>
        <w:spacing w:after="0"/>
        <w:jc w:val="both"/>
        <w:rPr>
          <w:rFonts w:ascii="Helvetica" w:hAnsi="Helvetica" w:cs="Helvetica"/>
          <w:sz w:val="20"/>
          <w:szCs w:val="20"/>
        </w:rPr>
      </w:pPr>
      <w:r w:rsidRPr="00E73989">
        <w:rPr>
          <w:rFonts w:ascii="Helvetica" w:hAnsi="Helvetica" w:cs="Helvetica"/>
          <w:sz w:val="20"/>
          <w:szCs w:val="20"/>
        </w:rPr>
        <w:t>Earlier, on 21 June 2021, Fitch revised Ghana’s outlook to negative with a rating of B. The negative outlook reflected the significant deterioration in public finances stemming from the Covid-19 pandemic and the delays to the government's fiscal consolidation efforts, which reduce Ghana's ability to absorb further shocks for an extended period. The 'B' rating reflected the high public debt level and low revenue base, which mean that Ghana's debt affordability metrics will remain markedly weaker than rating peers over the rating horizon. This is balanced against Fitch's expectation of a recovery in economic performance and a stabilisation of debt/GDP and the ready availability of external and domestic financing. Ghana’s credit ratings from the major agencies are as following:</w:t>
      </w:r>
    </w:p>
    <w:p w14:paraId="74491EBF" w14:textId="77777777" w:rsidR="00612AEE" w:rsidRPr="00E73989" w:rsidRDefault="00612AEE" w:rsidP="00612AEE">
      <w:pPr>
        <w:spacing w:after="0"/>
        <w:jc w:val="both"/>
        <w:rPr>
          <w:rFonts w:ascii="Helvetica" w:hAnsi="Helvetica" w:cs="Helvetica"/>
          <w:sz w:val="20"/>
          <w:szCs w:val="20"/>
        </w:rPr>
      </w:pPr>
    </w:p>
    <w:p w14:paraId="1FF0B328" w14:textId="3F101ACD" w:rsidR="00B66D27" w:rsidRPr="00B66D27" w:rsidRDefault="00B66D27" w:rsidP="00B66D27">
      <w:pPr>
        <w:pStyle w:val="Caption"/>
        <w:keepNext/>
        <w:spacing w:after="0"/>
        <w:rPr>
          <w:rFonts w:ascii="Helvetica" w:hAnsi="Helvetica" w:cs="Helvetica"/>
        </w:rPr>
      </w:pPr>
      <w:r w:rsidRPr="00B66D27">
        <w:rPr>
          <w:rFonts w:ascii="Helvetica" w:hAnsi="Helvetica" w:cs="Helvetica"/>
        </w:rPr>
        <w:t xml:space="preserve">Figure </w:t>
      </w:r>
      <w:r w:rsidRPr="00B66D27">
        <w:rPr>
          <w:rFonts w:ascii="Helvetica" w:hAnsi="Helvetica" w:cs="Helvetica"/>
        </w:rPr>
        <w:fldChar w:fldCharType="begin"/>
      </w:r>
      <w:r w:rsidRPr="00B66D27">
        <w:rPr>
          <w:rFonts w:ascii="Helvetica" w:hAnsi="Helvetica" w:cs="Helvetica"/>
        </w:rPr>
        <w:instrText xml:space="preserve"> SEQ Figure \* ARABIC </w:instrText>
      </w:r>
      <w:r w:rsidRPr="00B66D27">
        <w:rPr>
          <w:rFonts w:ascii="Helvetica" w:hAnsi="Helvetica" w:cs="Helvetica"/>
        </w:rPr>
        <w:fldChar w:fldCharType="separate"/>
      </w:r>
      <w:r w:rsidR="003B149F">
        <w:rPr>
          <w:rFonts w:ascii="Helvetica" w:hAnsi="Helvetica" w:cs="Helvetica"/>
          <w:noProof/>
        </w:rPr>
        <w:t>3</w:t>
      </w:r>
      <w:r w:rsidRPr="00B66D27">
        <w:rPr>
          <w:rFonts w:ascii="Helvetica" w:hAnsi="Helvetica" w:cs="Helvetica"/>
        </w:rPr>
        <w:fldChar w:fldCharType="end"/>
      </w:r>
      <w:r w:rsidRPr="00B66D27">
        <w:rPr>
          <w:rFonts w:ascii="Helvetica" w:hAnsi="Helvetica" w:cs="Helvetica"/>
        </w:rPr>
        <w:t>: Ghana’ sovereign credit ratings, 2021</w:t>
      </w:r>
    </w:p>
    <w:tbl>
      <w:tblPr>
        <w:tblStyle w:val="TableGrid5"/>
        <w:tblW w:w="9634" w:type="dxa"/>
        <w:jc w:val="center"/>
        <w:tblLook w:val="04A0" w:firstRow="1" w:lastRow="0" w:firstColumn="1" w:lastColumn="0" w:noHBand="0" w:noVBand="1"/>
      </w:tblPr>
      <w:tblGrid>
        <w:gridCol w:w="2830"/>
        <w:gridCol w:w="2127"/>
        <w:gridCol w:w="2835"/>
        <w:gridCol w:w="1842"/>
      </w:tblGrid>
      <w:tr w:rsidR="00612AEE" w:rsidRPr="00E73989" w14:paraId="6134E1E7" w14:textId="77777777" w:rsidTr="00B66D27">
        <w:trPr>
          <w:trHeight w:val="272"/>
          <w:jc w:val="center"/>
        </w:trPr>
        <w:tc>
          <w:tcPr>
            <w:tcW w:w="2830" w:type="dxa"/>
            <w:shd w:val="clear" w:color="auto" w:fill="00BBFE"/>
            <w:vAlign w:val="center"/>
          </w:tcPr>
          <w:p w14:paraId="25DB858C" w14:textId="46F4A078" w:rsidR="00612AEE" w:rsidRPr="00E73989" w:rsidRDefault="00B66D27" w:rsidP="00233C76">
            <w:pPr>
              <w:jc w:val="center"/>
              <w:rPr>
                <w:rFonts w:ascii="Helvetica" w:hAnsi="Helvetica" w:cs="Helvetica"/>
                <w:b/>
                <w:color w:val="FFFFFF" w:themeColor="background1"/>
                <w:sz w:val="20"/>
                <w:szCs w:val="20"/>
              </w:rPr>
            </w:pPr>
            <w:r w:rsidRPr="00E73989">
              <w:rPr>
                <w:rFonts w:ascii="Helvetica" w:hAnsi="Helvetica" w:cs="Helvetica"/>
                <w:b/>
                <w:color w:val="FFFFFF" w:themeColor="background1"/>
                <w:sz w:val="20"/>
                <w:szCs w:val="20"/>
              </w:rPr>
              <w:t>Credit rating agency</w:t>
            </w:r>
          </w:p>
        </w:tc>
        <w:tc>
          <w:tcPr>
            <w:tcW w:w="2127" w:type="dxa"/>
            <w:shd w:val="clear" w:color="auto" w:fill="00BBFE"/>
            <w:vAlign w:val="center"/>
          </w:tcPr>
          <w:p w14:paraId="719F08C6" w14:textId="78EB72F8" w:rsidR="00612AEE" w:rsidRPr="00E73989" w:rsidRDefault="00B66D27" w:rsidP="00B66D27">
            <w:pPr>
              <w:jc w:val="center"/>
              <w:rPr>
                <w:rFonts w:ascii="Helvetica" w:hAnsi="Helvetica" w:cs="Helvetica"/>
                <w:b/>
                <w:color w:val="FFFFFF"/>
                <w:sz w:val="20"/>
                <w:szCs w:val="20"/>
              </w:rPr>
            </w:pPr>
            <w:r w:rsidRPr="00E73989">
              <w:rPr>
                <w:rFonts w:ascii="Helvetica" w:hAnsi="Helvetica" w:cs="Helvetica"/>
                <w:b/>
                <w:bCs/>
                <w:color w:val="FFFFFF" w:themeColor="background1"/>
                <w:sz w:val="20"/>
                <w:szCs w:val="20"/>
              </w:rPr>
              <w:t>Standard &amp; Poor</w:t>
            </w:r>
          </w:p>
        </w:tc>
        <w:tc>
          <w:tcPr>
            <w:tcW w:w="2835" w:type="dxa"/>
            <w:shd w:val="clear" w:color="auto" w:fill="00BBFE"/>
            <w:vAlign w:val="center"/>
          </w:tcPr>
          <w:p w14:paraId="7D20879E" w14:textId="55D8DE6C" w:rsidR="00612AEE" w:rsidRPr="00E73989" w:rsidRDefault="00B66D27" w:rsidP="00233C76">
            <w:pPr>
              <w:jc w:val="center"/>
              <w:rPr>
                <w:rFonts w:ascii="Helvetica" w:hAnsi="Helvetica" w:cs="Helvetica"/>
                <w:b/>
                <w:color w:val="FFFFFF"/>
                <w:sz w:val="20"/>
                <w:szCs w:val="20"/>
              </w:rPr>
            </w:pPr>
            <w:r w:rsidRPr="00E73989">
              <w:rPr>
                <w:rFonts w:ascii="Helvetica" w:hAnsi="Helvetica" w:cs="Helvetica"/>
                <w:b/>
                <w:color w:val="FFFFFF"/>
                <w:sz w:val="20"/>
                <w:szCs w:val="20"/>
              </w:rPr>
              <w:t>Moody’s Investor Services</w:t>
            </w:r>
          </w:p>
        </w:tc>
        <w:tc>
          <w:tcPr>
            <w:tcW w:w="1842" w:type="dxa"/>
            <w:shd w:val="clear" w:color="auto" w:fill="00BBFE"/>
            <w:vAlign w:val="center"/>
          </w:tcPr>
          <w:p w14:paraId="63FFA39E" w14:textId="683847EB" w:rsidR="00612AEE" w:rsidRPr="00E73989" w:rsidRDefault="00B66D27" w:rsidP="00233C76">
            <w:pPr>
              <w:jc w:val="center"/>
              <w:rPr>
                <w:rFonts w:ascii="Helvetica" w:hAnsi="Helvetica" w:cs="Helvetica"/>
                <w:b/>
                <w:color w:val="FFFFFF"/>
                <w:sz w:val="20"/>
                <w:szCs w:val="20"/>
              </w:rPr>
            </w:pPr>
            <w:r w:rsidRPr="00E73989">
              <w:rPr>
                <w:rFonts w:ascii="Helvetica" w:hAnsi="Helvetica" w:cs="Helvetica"/>
                <w:b/>
                <w:bCs/>
                <w:color w:val="FFFFFF" w:themeColor="background1"/>
                <w:sz w:val="20"/>
                <w:szCs w:val="20"/>
              </w:rPr>
              <w:t>Fitch Ratings</w:t>
            </w:r>
          </w:p>
        </w:tc>
      </w:tr>
      <w:tr w:rsidR="00612AEE" w:rsidRPr="00E73989" w14:paraId="7F7F46F1" w14:textId="77777777" w:rsidTr="00B66D27">
        <w:trPr>
          <w:trHeight w:val="272"/>
          <w:jc w:val="center"/>
        </w:trPr>
        <w:tc>
          <w:tcPr>
            <w:tcW w:w="2830" w:type="dxa"/>
            <w:shd w:val="clear" w:color="auto" w:fill="00BBFE"/>
            <w:vAlign w:val="center"/>
          </w:tcPr>
          <w:p w14:paraId="44CB3E46" w14:textId="3B56BB85" w:rsidR="00612AEE" w:rsidRPr="00E73989" w:rsidRDefault="00B66D27" w:rsidP="00233C76">
            <w:pPr>
              <w:jc w:val="center"/>
              <w:rPr>
                <w:rFonts w:ascii="Helvetica" w:hAnsi="Helvetica" w:cs="Helvetica"/>
                <w:b/>
                <w:color w:val="FFFFFF" w:themeColor="background1"/>
                <w:sz w:val="20"/>
                <w:szCs w:val="20"/>
              </w:rPr>
            </w:pPr>
            <w:r w:rsidRPr="00E73989">
              <w:rPr>
                <w:rFonts w:ascii="Helvetica" w:hAnsi="Helvetica" w:cs="Helvetica"/>
                <w:b/>
                <w:color w:val="FFFFFF" w:themeColor="background1"/>
                <w:sz w:val="20"/>
                <w:szCs w:val="20"/>
              </w:rPr>
              <w:t>Credit rating</w:t>
            </w:r>
          </w:p>
        </w:tc>
        <w:tc>
          <w:tcPr>
            <w:tcW w:w="2127" w:type="dxa"/>
            <w:shd w:val="clear" w:color="auto" w:fill="auto"/>
            <w:vAlign w:val="center"/>
          </w:tcPr>
          <w:p w14:paraId="4420D7B9" w14:textId="77777777" w:rsidR="00612AEE" w:rsidRPr="00E73989" w:rsidRDefault="00612AEE" w:rsidP="00233C76">
            <w:pPr>
              <w:jc w:val="center"/>
              <w:rPr>
                <w:rFonts w:ascii="Helvetica" w:hAnsi="Helvetica" w:cs="Helvetica"/>
                <w:b/>
                <w:sz w:val="20"/>
                <w:szCs w:val="20"/>
              </w:rPr>
            </w:pPr>
            <w:r w:rsidRPr="00E73989">
              <w:rPr>
                <w:rFonts w:ascii="Helvetica" w:hAnsi="Helvetica" w:cs="Helvetica"/>
                <w:b/>
                <w:sz w:val="20"/>
                <w:szCs w:val="20"/>
              </w:rPr>
              <w:t>B-</w:t>
            </w:r>
          </w:p>
        </w:tc>
        <w:tc>
          <w:tcPr>
            <w:tcW w:w="2835" w:type="dxa"/>
            <w:shd w:val="clear" w:color="auto" w:fill="auto"/>
            <w:vAlign w:val="center"/>
          </w:tcPr>
          <w:p w14:paraId="3B00BB4F" w14:textId="77777777" w:rsidR="00612AEE" w:rsidRPr="00E73989" w:rsidRDefault="00612AEE" w:rsidP="00233C76">
            <w:pPr>
              <w:jc w:val="center"/>
              <w:rPr>
                <w:rFonts w:ascii="Helvetica" w:hAnsi="Helvetica" w:cs="Helvetica"/>
                <w:b/>
                <w:sz w:val="20"/>
                <w:szCs w:val="20"/>
              </w:rPr>
            </w:pPr>
            <w:r w:rsidRPr="00E73989">
              <w:rPr>
                <w:rFonts w:ascii="Helvetica" w:hAnsi="Helvetica" w:cs="Helvetica"/>
                <w:b/>
                <w:sz w:val="20"/>
                <w:szCs w:val="20"/>
              </w:rPr>
              <w:t>B3</w:t>
            </w:r>
          </w:p>
        </w:tc>
        <w:tc>
          <w:tcPr>
            <w:tcW w:w="1842" w:type="dxa"/>
            <w:shd w:val="clear" w:color="auto" w:fill="auto"/>
            <w:vAlign w:val="center"/>
          </w:tcPr>
          <w:p w14:paraId="261E9D24" w14:textId="77777777" w:rsidR="00612AEE" w:rsidRPr="00E73989" w:rsidRDefault="00612AEE" w:rsidP="00233C76">
            <w:pPr>
              <w:jc w:val="center"/>
              <w:rPr>
                <w:rFonts w:ascii="Helvetica" w:hAnsi="Helvetica" w:cs="Helvetica"/>
                <w:b/>
                <w:sz w:val="20"/>
                <w:szCs w:val="20"/>
              </w:rPr>
            </w:pPr>
            <w:r w:rsidRPr="00E73989">
              <w:rPr>
                <w:rFonts w:ascii="Helvetica" w:hAnsi="Helvetica" w:cs="Helvetica"/>
                <w:b/>
                <w:sz w:val="20"/>
                <w:szCs w:val="20"/>
              </w:rPr>
              <w:t>B</w:t>
            </w:r>
          </w:p>
        </w:tc>
      </w:tr>
      <w:tr w:rsidR="00612AEE" w:rsidRPr="00E73989" w14:paraId="41D707FC" w14:textId="77777777" w:rsidTr="00B66D27">
        <w:trPr>
          <w:trHeight w:val="272"/>
          <w:jc w:val="center"/>
        </w:trPr>
        <w:tc>
          <w:tcPr>
            <w:tcW w:w="2830" w:type="dxa"/>
            <w:shd w:val="clear" w:color="auto" w:fill="00BBFE"/>
            <w:vAlign w:val="center"/>
          </w:tcPr>
          <w:p w14:paraId="50D175B9" w14:textId="76D376B6" w:rsidR="00612AEE" w:rsidRPr="00E73989" w:rsidRDefault="00B66D27" w:rsidP="00233C76">
            <w:pPr>
              <w:jc w:val="center"/>
              <w:rPr>
                <w:rFonts w:ascii="Helvetica" w:hAnsi="Helvetica" w:cs="Helvetica"/>
                <w:b/>
                <w:color w:val="FFFFFF" w:themeColor="background1"/>
                <w:sz w:val="20"/>
                <w:szCs w:val="20"/>
              </w:rPr>
            </w:pPr>
            <w:r w:rsidRPr="00E73989">
              <w:rPr>
                <w:rFonts w:ascii="Helvetica" w:hAnsi="Helvetica" w:cs="Helvetica"/>
                <w:b/>
                <w:color w:val="FFFFFF" w:themeColor="background1"/>
                <w:sz w:val="20"/>
                <w:szCs w:val="20"/>
              </w:rPr>
              <w:t>Outlook</w:t>
            </w:r>
          </w:p>
        </w:tc>
        <w:tc>
          <w:tcPr>
            <w:tcW w:w="2127" w:type="dxa"/>
            <w:vAlign w:val="center"/>
          </w:tcPr>
          <w:p w14:paraId="0E9E22E3" w14:textId="77777777" w:rsidR="00612AEE" w:rsidRPr="00E73989" w:rsidRDefault="00612AEE" w:rsidP="00233C76">
            <w:pPr>
              <w:jc w:val="center"/>
              <w:rPr>
                <w:rFonts w:ascii="Helvetica" w:hAnsi="Helvetica" w:cs="Helvetica"/>
                <w:sz w:val="20"/>
                <w:szCs w:val="20"/>
              </w:rPr>
            </w:pPr>
            <w:r w:rsidRPr="00E73989">
              <w:rPr>
                <w:rFonts w:ascii="Helvetica" w:hAnsi="Helvetica" w:cs="Helvetica"/>
                <w:sz w:val="20"/>
                <w:szCs w:val="20"/>
              </w:rPr>
              <w:t>Negative</w:t>
            </w:r>
          </w:p>
        </w:tc>
        <w:tc>
          <w:tcPr>
            <w:tcW w:w="2835" w:type="dxa"/>
            <w:vAlign w:val="center"/>
          </w:tcPr>
          <w:p w14:paraId="63AD086C" w14:textId="77777777" w:rsidR="00612AEE" w:rsidRPr="00E73989" w:rsidRDefault="00612AEE" w:rsidP="00233C76">
            <w:pPr>
              <w:jc w:val="center"/>
              <w:rPr>
                <w:rFonts w:ascii="Helvetica" w:hAnsi="Helvetica" w:cs="Helvetica"/>
                <w:sz w:val="20"/>
                <w:szCs w:val="20"/>
              </w:rPr>
            </w:pPr>
            <w:r w:rsidRPr="00E73989">
              <w:rPr>
                <w:rFonts w:ascii="Helvetica" w:hAnsi="Helvetica" w:cs="Helvetica"/>
                <w:sz w:val="20"/>
                <w:szCs w:val="20"/>
              </w:rPr>
              <w:t>Negative</w:t>
            </w:r>
          </w:p>
        </w:tc>
        <w:tc>
          <w:tcPr>
            <w:tcW w:w="1842" w:type="dxa"/>
            <w:vAlign w:val="center"/>
          </w:tcPr>
          <w:p w14:paraId="00290CA7" w14:textId="77777777" w:rsidR="00612AEE" w:rsidRPr="00E73989" w:rsidRDefault="00612AEE" w:rsidP="00233C76">
            <w:pPr>
              <w:pStyle w:val="ListParagraph"/>
              <w:rPr>
                <w:rFonts w:ascii="Helvetica" w:hAnsi="Helvetica" w:cs="Helvetica"/>
                <w:sz w:val="20"/>
                <w:szCs w:val="20"/>
              </w:rPr>
            </w:pPr>
            <w:r w:rsidRPr="00E73989">
              <w:rPr>
                <w:rFonts w:ascii="Helvetica" w:hAnsi="Helvetica" w:cs="Helvetica"/>
                <w:sz w:val="20"/>
                <w:szCs w:val="20"/>
              </w:rPr>
              <w:t>Negative</w:t>
            </w:r>
          </w:p>
        </w:tc>
      </w:tr>
      <w:tr w:rsidR="00612AEE" w:rsidRPr="00E73989" w14:paraId="3DA162DF" w14:textId="77777777" w:rsidTr="00B66D27">
        <w:trPr>
          <w:trHeight w:val="272"/>
          <w:jc w:val="center"/>
        </w:trPr>
        <w:tc>
          <w:tcPr>
            <w:tcW w:w="2830" w:type="dxa"/>
            <w:shd w:val="clear" w:color="auto" w:fill="00BBFE"/>
            <w:vAlign w:val="center"/>
          </w:tcPr>
          <w:p w14:paraId="715A138E" w14:textId="64AC2D55" w:rsidR="00612AEE" w:rsidRPr="00E73989" w:rsidRDefault="00B66D27" w:rsidP="00233C76">
            <w:pPr>
              <w:jc w:val="center"/>
              <w:rPr>
                <w:rFonts w:ascii="Helvetica" w:hAnsi="Helvetica" w:cs="Helvetica"/>
                <w:b/>
                <w:color w:val="FFFFFF" w:themeColor="background1"/>
                <w:sz w:val="20"/>
                <w:szCs w:val="20"/>
              </w:rPr>
            </w:pPr>
            <w:r w:rsidRPr="00E73989">
              <w:rPr>
                <w:rFonts w:ascii="Helvetica" w:hAnsi="Helvetica" w:cs="Helvetica"/>
                <w:b/>
                <w:color w:val="FFFFFF" w:themeColor="background1"/>
                <w:sz w:val="20"/>
                <w:szCs w:val="20"/>
              </w:rPr>
              <w:t xml:space="preserve">Date of last change </w:t>
            </w:r>
          </w:p>
        </w:tc>
        <w:tc>
          <w:tcPr>
            <w:tcW w:w="2127" w:type="dxa"/>
            <w:vAlign w:val="center"/>
          </w:tcPr>
          <w:p w14:paraId="27AD21FA" w14:textId="77777777" w:rsidR="00612AEE" w:rsidRPr="00E73989" w:rsidRDefault="00612AEE" w:rsidP="00233C76">
            <w:pPr>
              <w:jc w:val="center"/>
              <w:rPr>
                <w:rFonts w:ascii="Helvetica" w:hAnsi="Helvetica" w:cs="Helvetica"/>
                <w:sz w:val="20"/>
                <w:szCs w:val="20"/>
              </w:rPr>
            </w:pPr>
            <w:r w:rsidRPr="00E73989">
              <w:rPr>
                <w:rFonts w:ascii="Helvetica" w:hAnsi="Helvetica" w:cs="Helvetica"/>
                <w:sz w:val="20"/>
                <w:szCs w:val="20"/>
              </w:rPr>
              <w:t>2021-09-03</w:t>
            </w:r>
          </w:p>
        </w:tc>
        <w:tc>
          <w:tcPr>
            <w:tcW w:w="2835" w:type="dxa"/>
            <w:vAlign w:val="center"/>
          </w:tcPr>
          <w:p w14:paraId="37FD432C" w14:textId="77777777" w:rsidR="00612AEE" w:rsidRPr="00E73989" w:rsidRDefault="00612AEE" w:rsidP="00233C76">
            <w:pPr>
              <w:jc w:val="center"/>
              <w:rPr>
                <w:rFonts w:ascii="Helvetica" w:hAnsi="Helvetica" w:cs="Helvetica"/>
                <w:sz w:val="20"/>
                <w:szCs w:val="20"/>
              </w:rPr>
            </w:pPr>
            <w:r w:rsidRPr="00E73989">
              <w:rPr>
                <w:rFonts w:ascii="Helvetica" w:hAnsi="Helvetica" w:cs="Helvetica"/>
                <w:sz w:val="20"/>
                <w:szCs w:val="20"/>
              </w:rPr>
              <w:t>2021-09-03</w:t>
            </w:r>
          </w:p>
        </w:tc>
        <w:tc>
          <w:tcPr>
            <w:tcW w:w="1842" w:type="dxa"/>
            <w:vAlign w:val="center"/>
          </w:tcPr>
          <w:p w14:paraId="0A06B02D" w14:textId="77777777" w:rsidR="00612AEE" w:rsidRPr="00E73989" w:rsidRDefault="00612AEE" w:rsidP="00233C76">
            <w:pPr>
              <w:jc w:val="center"/>
              <w:rPr>
                <w:rFonts w:ascii="Helvetica" w:hAnsi="Helvetica" w:cs="Helvetica"/>
                <w:sz w:val="20"/>
                <w:szCs w:val="20"/>
              </w:rPr>
            </w:pPr>
            <w:r w:rsidRPr="00E73989">
              <w:rPr>
                <w:rFonts w:ascii="Helvetica" w:hAnsi="Helvetica" w:cs="Helvetica"/>
                <w:sz w:val="20"/>
                <w:szCs w:val="20"/>
              </w:rPr>
              <w:t>2021-06-22</w:t>
            </w:r>
          </w:p>
        </w:tc>
      </w:tr>
    </w:tbl>
    <w:p w14:paraId="735AEB83" w14:textId="15095ACB" w:rsidR="00612AEE" w:rsidRPr="00B66D27" w:rsidRDefault="00612AEE" w:rsidP="00612AEE">
      <w:pPr>
        <w:spacing w:after="0"/>
        <w:jc w:val="both"/>
        <w:rPr>
          <w:rFonts w:ascii="Helvetica" w:hAnsi="Helvetica" w:cs="Helvetica"/>
          <w:i/>
          <w:sz w:val="16"/>
          <w:szCs w:val="16"/>
        </w:rPr>
      </w:pPr>
      <w:r w:rsidRPr="00B66D27">
        <w:rPr>
          <w:rFonts w:ascii="Helvetica" w:hAnsi="Helvetica" w:cs="Helvetica"/>
          <w:i/>
          <w:sz w:val="16"/>
          <w:szCs w:val="16"/>
        </w:rPr>
        <w:t>Sources: Fitch Ratings</w:t>
      </w:r>
      <w:r w:rsidR="00B66D27">
        <w:rPr>
          <w:rFonts w:ascii="Helvetica" w:hAnsi="Helvetica" w:cs="Helvetica"/>
          <w:i/>
          <w:sz w:val="16"/>
          <w:szCs w:val="16"/>
        </w:rPr>
        <w:t xml:space="preserve"> (</w:t>
      </w:r>
      <w:r w:rsidRPr="00B66D27">
        <w:rPr>
          <w:rFonts w:ascii="Helvetica" w:hAnsi="Helvetica" w:cs="Helvetica"/>
          <w:i/>
          <w:sz w:val="16"/>
          <w:szCs w:val="16"/>
        </w:rPr>
        <w:t>2021</w:t>
      </w:r>
      <w:r w:rsidR="00B66D27">
        <w:rPr>
          <w:rFonts w:ascii="Helvetica" w:hAnsi="Helvetica" w:cs="Helvetica"/>
          <w:i/>
          <w:sz w:val="16"/>
          <w:szCs w:val="16"/>
        </w:rPr>
        <w:t>); Moody’s Investor Centre (</w:t>
      </w:r>
      <w:r w:rsidRPr="00B66D27">
        <w:rPr>
          <w:rFonts w:ascii="Helvetica" w:hAnsi="Helvetica" w:cs="Helvetica"/>
          <w:i/>
          <w:sz w:val="16"/>
          <w:szCs w:val="16"/>
        </w:rPr>
        <w:t>2021</w:t>
      </w:r>
      <w:r w:rsidR="00B66D27">
        <w:rPr>
          <w:rFonts w:ascii="Helvetica" w:hAnsi="Helvetica" w:cs="Helvetica"/>
          <w:i/>
          <w:sz w:val="16"/>
          <w:szCs w:val="16"/>
        </w:rPr>
        <w:t>); Ministry of Finance, Ghana (</w:t>
      </w:r>
      <w:r w:rsidRPr="00B66D27">
        <w:rPr>
          <w:rFonts w:ascii="Helvetica" w:hAnsi="Helvetica" w:cs="Helvetica"/>
          <w:i/>
          <w:sz w:val="16"/>
          <w:szCs w:val="16"/>
        </w:rPr>
        <w:t>2021</w:t>
      </w:r>
      <w:r w:rsidR="00B66D27">
        <w:rPr>
          <w:rFonts w:ascii="Helvetica" w:hAnsi="Helvetica" w:cs="Helvetica"/>
          <w:i/>
          <w:sz w:val="16"/>
          <w:szCs w:val="16"/>
        </w:rPr>
        <w:t>)</w:t>
      </w:r>
    </w:p>
    <w:p w14:paraId="0209ED04" w14:textId="77777777" w:rsidR="00612AEE" w:rsidRPr="00E73989" w:rsidRDefault="00612AEE" w:rsidP="00612AEE">
      <w:pPr>
        <w:spacing w:after="0"/>
        <w:jc w:val="both"/>
        <w:rPr>
          <w:rFonts w:ascii="Helvetica" w:hAnsi="Helvetica" w:cs="Helvetica"/>
          <w:sz w:val="20"/>
          <w:szCs w:val="20"/>
        </w:rPr>
      </w:pPr>
    </w:p>
    <w:p w14:paraId="51D65FA2" w14:textId="77777777" w:rsidR="00612AEE" w:rsidRPr="00E73989" w:rsidRDefault="00612AEE" w:rsidP="00612AEE">
      <w:pPr>
        <w:spacing w:after="0"/>
        <w:jc w:val="both"/>
        <w:rPr>
          <w:rFonts w:ascii="Helvetica" w:hAnsi="Helvetica" w:cs="Helvetica"/>
          <w:i/>
          <w:sz w:val="20"/>
          <w:szCs w:val="20"/>
        </w:rPr>
      </w:pPr>
      <w:r w:rsidRPr="00E73989">
        <w:rPr>
          <w:rFonts w:ascii="Helvetica" w:hAnsi="Helvetica" w:cs="Helvetica"/>
          <w:sz w:val="20"/>
          <w:szCs w:val="20"/>
        </w:rPr>
        <w:t xml:space="preserve">A number of alternative measures and rating scales exist to assess risks posed to companies and banks, particularly those pertaining to political and commercial risks when undertaking international commercial transactions. One such company that offers these services is Belgium’s Delcredereducroire’s (the country’s official export credit agency and public credit insurer). The table below shows Delcredereducroire’s current risk assessment of Ghana in terms of export transactions and direct investments. Ratings are between 1 and 7, and between A and C, with 7 and C being the maximum risk indicators. </w:t>
      </w:r>
    </w:p>
    <w:p w14:paraId="281FB800" w14:textId="77777777" w:rsidR="00612AEE" w:rsidRPr="00E73989" w:rsidRDefault="00612AEE" w:rsidP="00612AEE">
      <w:pPr>
        <w:pStyle w:val="ListParagraph"/>
        <w:numPr>
          <w:ilvl w:val="0"/>
          <w:numId w:val="16"/>
        </w:numPr>
        <w:spacing w:after="0"/>
        <w:jc w:val="both"/>
        <w:rPr>
          <w:rFonts w:ascii="Helvetica" w:hAnsi="Helvetica" w:cs="Helvetica"/>
          <w:sz w:val="20"/>
          <w:szCs w:val="20"/>
        </w:rPr>
      </w:pPr>
      <w:r w:rsidRPr="00E73989">
        <w:rPr>
          <w:rFonts w:ascii="Helvetica" w:hAnsi="Helvetica" w:cs="Helvetica"/>
          <w:sz w:val="20"/>
          <w:szCs w:val="20"/>
        </w:rPr>
        <w:t>In terms of political risks associated with exports transactions in Ghana, these are deemed to be relatively high both in the short term and medium to long-term.</w:t>
      </w:r>
    </w:p>
    <w:p w14:paraId="63E2A2ED" w14:textId="77777777" w:rsidR="00612AEE" w:rsidRPr="00E73989" w:rsidRDefault="00612AEE" w:rsidP="00612AEE">
      <w:pPr>
        <w:pStyle w:val="ListParagraph"/>
        <w:numPr>
          <w:ilvl w:val="0"/>
          <w:numId w:val="16"/>
        </w:numPr>
        <w:spacing w:after="0"/>
        <w:jc w:val="both"/>
        <w:rPr>
          <w:rFonts w:ascii="Helvetica" w:hAnsi="Helvetica" w:cs="Helvetica"/>
          <w:sz w:val="20"/>
          <w:szCs w:val="20"/>
        </w:rPr>
      </w:pPr>
      <w:r w:rsidRPr="00E73989">
        <w:rPr>
          <w:rFonts w:ascii="Helvetica" w:hAnsi="Helvetica" w:cs="Helvetica"/>
          <w:sz w:val="20"/>
          <w:szCs w:val="20"/>
        </w:rPr>
        <w:t xml:space="preserve">Business environment risk in turn also somewhat high. </w:t>
      </w:r>
    </w:p>
    <w:p w14:paraId="08915084" w14:textId="77777777" w:rsidR="00612AEE" w:rsidRPr="00E73989" w:rsidRDefault="00612AEE" w:rsidP="00612AEE">
      <w:pPr>
        <w:pStyle w:val="ListParagraph"/>
        <w:numPr>
          <w:ilvl w:val="0"/>
          <w:numId w:val="16"/>
        </w:numPr>
        <w:spacing w:after="0"/>
        <w:jc w:val="both"/>
        <w:rPr>
          <w:rFonts w:ascii="Helvetica" w:hAnsi="Helvetica" w:cs="Helvetica"/>
          <w:sz w:val="20"/>
          <w:szCs w:val="20"/>
        </w:rPr>
      </w:pPr>
      <w:r w:rsidRPr="00E73989">
        <w:rPr>
          <w:rFonts w:ascii="Helvetica" w:hAnsi="Helvetica" w:cs="Helvetica"/>
          <w:sz w:val="20"/>
          <w:szCs w:val="20"/>
        </w:rPr>
        <w:t>Regarding direct investments, all the categories are considered to be low risk except for currency inconvertibility as indicated by scores awarded below.</w:t>
      </w:r>
    </w:p>
    <w:p w14:paraId="2D57C8F0" w14:textId="20E5067A" w:rsidR="00B66D27" w:rsidRPr="00B66D27" w:rsidRDefault="00B66D27" w:rsidP="00B66D27">
      <w:pPr>
        <w:pStyle w:val="Caption"/>
        <w:keepNext/>
        <w:spacing w:after="0"/>
        <w:ind w:firstLine="720"/>
        <w:rPr>
          <w:rFonts w:ascii="Helvetica" w:hAnsi="Helvetica" w:cs="Helvetica"/>
        </w:rPr>
      </w:pPr>
      <w:r w:rsidRPr="00B66D27">
        <w:rPr>
          <w:rFonts w:ascii="Helvetica" w:hAnsi="Helvetica" w:cs="Helvetica"/>
        </w:rPr>
        <w:lastRenderedPageBreak/>
        <w:t xml:space="preserve">Table </w:t>
      </w:r>
      <w:r w:rsidRPr="00B66D27">
        <w:rPr>
          <w:rFonts w:ascii="Helvetica" w:hAnsi="Helvetica" w:cs="Helvetica"/>
        </w:rPr>
        <w:fldChar w:fldCharType="begin"/>
      </w:r>
      <w:r w:rsidRPr="00B66D27">
        <w:rPr>
          <w:rFonts w:ascii="Helvetica" w:hAnsi="Helvetica" w:cs="Helvetica"/>
        </w:rPr>
        <w:instrText xml:space="preserve"> SEQ Table \* ARABIC </w:instrText>
      </w:r>
      <w:r w:rsidRPr="00B66D27">
        <w:rPr>
          <w:rFonts w:ascii="Helvetica" w:hAnsi="Helvetica" w:cs="Helvetica"/>
        </w:rPr>
        <w:fldChar w:fldCharType="separate"/>
      </w:r>
      <w:r w:rsidRPr="00B66D27">
        <w:rPr>
          <w:rFonts w:ascii="Helvetica" w:hAnsi="Helvetica" w:cs="Helvetica"/>
          <w:noProof/>
        </w:rPr>
        <w:t>3</w:t>
      </w:r>
      <w:r w:rsidRPr="00B66D27">
        <w:rPr>
          <w:rFonts w:ascii="Helvetica" w:hAnsi="Helvetica" w:cs="Helvetica"/>
        </w:rPr>
        <w:fldChar w:fldCharType="end"/>
      </w:r>
      <w:r w:rsidRPr="00B66D27">
        <w:rPr>
          <w:rFonts w:ascii="Helvetica" w:hAnsi="Helvetica" w:cs="Helvetica"/>
        </w:rPr>
        <w:t>: Ghana’s risk assessment - Delcredereducroire</w:t>
      </w:r>
    </w:p>
    <w:tbl>
      <w:tblPr>
        <w:tblStyle w:val="TableGrid51"/>
        <w:tblW w:w="0" w:type="auto"/>
        <w:jc w:val="center"/>
        <w:tblLook w:val="04A0" w:firstRow="1" w:lastRow="0" w:firstColumn="1" w:lastColumn="0" w:noHBand="0" w:noVBand="1"/>
      </w:tblPr>
      <w:tblGrid>
        <w:gridCol w:w="5061"/>
        <w:gridCol w:w="1720"/>
        <w:gridCol w:w="1299"/>
      </w:tblGrid>
      <w:tr w:rsidR="00612AEE" w:rsidRPr="00E73989" w14:paraId="2906B782" w14:textId="77777777" w:rsidTr="00CD3AA4">
        <w:trPr>
          <w:trHeight w:val="283"/>
          <w:jc w:val="center"/>
        </w:trPr>
        <w:tc>
          <w:tcPr>
            <w:tcW w:w="8080" w:type="dxa"/>
            <w:gridSpan w:val="3"/>
            <w:shd w:val="clear" w:color="auto" w:fill="00BBFE"/>
            <w:vAlign w:val="center"/>
          </w:tcPr>
          <w:p w14:paraId="00787AAC" w14:textId="71BB63C1" w:rsidR="00612AEE" w:rsidRPr="00E73989" w:rsidRDefault="00B66D27" w:rsidP="00233C76">
            <w:pPr>
              <w:jc w:val="center"/>
              <w:rPr>
                <w:rFonts w:ascii="Helvetica" w:hAnsi="Helvetica" w:cs="Helvetica"/>
                <w:b/>
                <w:color w:val="FFFFFF" w:themeColor="background1"/>
                <w:sz w:val="20"/>
                <w:szCs w:val="20"/>
              </w:rPr>
            </w:pPr>
            <w:r w:rsidRPr="00E73989">
              <w:rPr>
                <w:rFonts w:ascii="Helvetica" w:hAnsi="Helvetica" w:cs="Helvetica"/>
                <w:b/>
                <w:color w:val="FFFFFF" w:themeColor="background1"/>
                <w:sz w:val="20"/>
                <w:szCs w:val="20"/>
              </w:rPr>
              <w:t xml:space="preserve">Export transactions </w:t>
            </w:r>
            <w:r w:rsidR="00612AEE" w:rsidRPr="00E73989">
              <w:rPr>
                <w:rFonts w:ascii="Helvetica" w:hAnsi="Helvetica" w:cs="Helvetica"/>
                <w:b/>
                <w:color w:val="FFFFFF" w:themeColor="background1"/>
                <w:sz w:val="20"/>
                <w:szCs w:val="20"/>
              </w:rPr>
              <w:t>(Scale 1 – 7)*</w:t>
            </w:r>
          </w:p>
        </w:tc>
      </w:tr>
      <w:tr w:rsidR="00612AEE" w:rsidRPr="00E73989" w14:paraId="7263B60D" w14:textId="77777777" w:rsidTr="00B66D27">
        <w:trPr>
          <w:trHeight w:val="283"/>
          <w:jc w:val="center"/>
        </w:trPr>
        <w:tc>
          <w:tcPr>
            <w:tcW w:w="5061" w:type="dxa"/>
            <w:vMerge w:val="restart"/>
            <w:vAlign w:val="center"/>
          </w:tcPr>
          <w:p w14:paraId="01BAB15A" w14:textId="77777777" w:rsidR="00612AEE" w:rsidRPr="00E73989" w:rsidRDefault="00612AEE" w:rsidP="00233C76">
            <w:pPr>
              <w:rPr>
                <w:rFonts w:ascii="Helvetica" w:hAnsi="Helvetica" w:cs="Helvetica"/>
                <w:color w:val="000000" w:themeColor="text1"/>
                <w:sz w:val="20"/>
                <w:szCs w:val="20"/>
              </w:rPr>
            </w:pPr>
            <w:r w:rsidRPr="00E73989">
              <w:rPr>
                <w:rFonts w:ascii="Helvetica" w:hAnsi="Helvetica" w:cs="Helvetica"/>
                <w:color w:val="000000" w:themeColor="text1"/>
                <w:sz w:val="20"/>
                <w:szCs w:val="20"/>
              </w:rPr>
              <w:t xml:space="preserve">Political Risks </w:t>
            </w:r>
          </w:p>
        </w:tc>
        <w:tc>
          <w:tcPr>
            <w:tcW w:w="1720" w:type="dxa"/>
            <w:vAlign w:val="center"/>
          </w:tcPr>
          <w:p w14:paraId="72326E5F" w14:textId="77777777" w:rsidR="00612AEE" w:rsidRPr="00E73989" w:rsidRDefault="00612AEE" w:rsidP="00233C76">
            <w:pPr>
              <w:jc w:val="center"/>
              <w:rPr>
                <w:rFonts w:ascii="Helvetica" w:hAnsi="Helvetica" w:cs="Helvetica"/>
                <w:color w:val="000000" w:themeColor="text1"/>
                <w:sz w:val="20"/>
                <w:szCs w:val="20"/>
              </w:rPr>
            </w:pPr>
            <w:r w:rsidRPr="00E73989">
              <w:rPr>
                <w:rFonts w:ascii="Helvetica" w:hAnsi="Helvetica" w:cs="Helvetica"/>
                <w:color w:val="000000" w:themeColor="text1"/>
                <w:sz w:val="20"/>
                <w:szCs w:val="20"/>
              </w:rPr>
              <w:t>Short Term</w:t>
            </w:r>
          </w:p>
        </w:tc>
        <w:tc>
          <w:tcPr>
            <w:tcW w:w="1299" w:type="dxa"/>
            <w:vAlign w:val="center"/>
          </w:tcPr>
          <w:p w14:paraId="13C11C34" w14:textId="77777777" w:rsidR="00612AEE" w:rsidRPr="00E73989" w:rsidRDefault="00612AEE" w:rsidP="00233C76">
            <w:pPr>
              <w:jc w:val="center"/>
              <w:rPr>
                <w:rFonts w:ascii="Helvetica" w:hAnsi="Helvetica" w:cs="Helvetica"/>
                <w:color w:val="000000" w:themeColor="text1"/>
                <w:sz w:val="20"/>
                <w:szCs w:val="20"/>
              </w:rPr>
            </w:pPr>
            <w:r w:rsidRPr="00E73989">
              <w:rPr>
                <w:rFonts w:ascii="Helvetica" w:hAnsi="Helvetica" w:cs="Helvetica"/>
                <w:color w:val="000000" w:themeColor="text1"/>
                <w:sz w:val="20"/>
                <w:szCs w:val="20"/>
              </w:rPr>
              <w:t>4</w:t>
            </w:r>
          </w:p>
        </w:tc>
      </w:tr>
      <w:tr w:rsidR="00612AEE" w:rsidRPr="00E73989" w14:paraId="4E9128A8" w14:textId="77777777" w:rsidTr="00B66D27">
        <w:trPr>
          <w:trHeight w:val="283"/>
          <w:jc w:val="center"/>
        </w:trPr>
        <w:tc>
          <w:tcPr>
            <w:tcW w:w="5061" w:type="dxa"/>
            <w:vMerge/>
            <w:vAlign w:val="center"/>
          </w:tcPr>
          <w:p w14:paraId="764C15A4" w14:textId="77777777" w:rsidR="00612AEE" w:rsidRPr="00E73989" w:rsidRDefault="00612AEE" w:rsidP="00233C76">
            <w:pPr>
              <w:rPr>
                <w:rFonts w:ascii="Helvetica" w:hAnsi="Helvetica" w:cs="Helvetica"/>
                <w:color w:val="000000" w:themeColor="text1"/>
                <w:sz w:val="20"/>
                <w:szCs w:val="20"/>
              </w:rPr>
            </w:pPr>
          </w:p>
        </w:tc>
        <w:tc>
          <w:tcPr>
            <w:tcW w:w="1720" w:type="dxa"/>
            <w:vAlign w:val="center"/>
          </w:tcPr>
          <w:p w14:paraId="5FE73DC5" w14:textId="77777777" w:rsidR="00612AEE" w:rsidRPr="00E73989" w:rsidRDefault="00612AEE" w:rsidP="00233C76">
            <w:pPr>
              <w:jc w:val="center"/>
              <w:rPr>
                <w:rFonts w:ascii="Helvetica" w:hAnsi="Helvetica" w:cs="Helvetica"/>
                <w:color w:val="000000" w:themeColor="text1"/>
                <w:sz w:val="20"/>
                <w:szCs w:val="20"/>
              </w:rPr>
            </w:pPr>
            <w:r w:rsidRPr="00E73989">
              <w:rPr>
                <w:rFonts w:ascii="Helvetica" w:hAnsi="Helvetica" w:cs="Helvetica"/>
                <w:color w:val="000000" w:themeColor="text1"/>
                <w:sz w:val="20"/>
                <w:szCs w:val="20"/>
              </w:rPr>
              <w:t>Medium-Long term</w:t>
            </w:r>
          </w:p>
        </w:tc>
        <w:tc>
          <w:tcPr>
            <w:tcW w:w="1299" w:type="dxa"/>
            <w:vAlign w:val="center"/>
          </w:tcPr>
          <w:p w14:paraId="45399EE2" w14:textId="77777777" w:rsidR="00612AEE" w:rsidRPr="00E73989" w:rsidRDefault="00612AEE" w:rsidP="00233C76">
            <w:pPr>
              <w:jc w:val="center"/>
              <w:rPr>
                <w:rFonts w:ascii="Helvetica" w:hAnsi="Helvetica" w:cs="Helvetica"/>
                <w:color w:val="000000" w:themeColor="text1"/>
                <w:sz w:val="20"/>
                <w:szCs w:val="20"/>
              </w:rPr>
            </w:pPr>
            <w:r w:rsidRPr="00E73989">
              <w:rPr>
                <w:rFonts w:ascii="Helvetica" w:hAnsi="Helvetica" w:cs="Helvetica"/>
                <w:color w:val="000000" w:themeColor="text1"/>
                <w:sz w:val="20"/>
                <w:szCs w:val="20"/>
              </w:rPr>
              <w:t>5</w:t>
            </w:r>
          </w:p>
        </w:tc>
      </w:tr>
      <w:tr w:rsidR="00612AEE" w:rsidRPr="00E73989" w14:paraId="2A520538" w14:textId="77777777" w:rsidTr="00B66D27">
        <w:trPr>
          <w:trHeight w:val="283"/>
          <w:jc w:val="center"/>
        </w:trPr>
        <w:tc>
          <w:tcPr>
            <w:tcW w:w="5061" w:type="dxa"/>
            <w:vMerge/>
            <w:vAlign w:val="center"/>
          </w:tcPr>
          <w:p w14:paraId="31D185BB" w14:textId="77777777" w:rsidR="00612AEE" w:rsidRPr="00E73989" w:rsidRDefault="00612AEE" w:rsidP="00233C76">
            <w:pPr>
              <w:rPr>
                <w:rFonts w:ascii="Helvetica" w:hAnsi="Helvetica" w:cs="Helvetica"/>
                <w:color w:val="000000" w:themeColor="text1"/>
                <w:sz w:val="20"/>
                <w:szCs w:val="20"/>
              </w:rPr>
            </w:pPr>
          </w:p>
        </w:tc>
        <w:tc>
          <w:tcPr>
            <w:tcW w:w="1720" w:type="dxa"/>
            <w:vAlign w:val="center"/>
          </w:tcPr>
          <w:p w14:paraId="4E042276" w14:textId="77777777" w:rsidR="00612AEE" w:rsidRPr="00E73989" w:rsidRDefault="00612AEE" w:rsidP="00233C76">
            <w:pPr>
              <w:jc w:val="center"/>
              <w:rPr>
                <w:rFonts w:ascii="Helvetica" w:hAnsi="Helvetica" w:cs="Helvetica"/>
                <w:color w:val="000000" w:themeColor="text1"/>
                <w:sz w:val="20"/>
                <w:szCs w:val="20"/>
              </w:rPr>
            </w:pPr>
            <w:r w:rsidRPr="00E73989">
              <w:rPr>
                <w:rFonts w:ascii="Helvetica" w:hAnsi="Helvetica" w:cs="Helvetica"/>
                <w:color w:val="000000" w:themeColor="text1"/>
                <w:sz w:val="20"/>
                <w:szCs w:val="20"/>
              </w:rPr>
              <w:t>Premium Classification OECD</w:t>
            </w:r>
          </w:p>
        </w:tc>
        <w:tc>
          <w:tcPr>
            <w:tcW w:w="1299" w:type="dxa"/>
            <w:vAlign w:val="center"/>
          </w:tcPr>
          <w:p w14:paraId="0FAAE64E" w14:textId="77777777" w:rsidR="00612AEE" w:rsidRPr="00E73989" w:rsidRDefault="00612AEE" w:rsidP="00233C76">
            <w:pPr>
              <w:jc w:val="center"/>
              <w:rPr>
                <w:rFonts w:ascii="Helvetica" w:hAnsi="Helvetica" w:cs="Helvetica"/>
                <w:color w:val="000000" w:themeColor="text1"/>
                <w:sz w:val="20"/>
                <w:szCs w:val="20"/>
              </w:rPr>
            </w:pPr>
            <w:r w:rsidRPr="00E73989">
              <w:rPr>
                <w:rFonts w:ascii="Helvetica" w:hAnsi="Helvetica" w:cs="Helvetica"/>
                <w:color w:val="000000" w:themeColor="text1"/>
                <w:sz w:val="20"/>
                <w:szCs w:val="20"/>
              </w:rPr>
              <w:t>6</w:t>
            </w:r>
          </w:p>
        </w:tc>
      </w:tr>
      <w:tr w:rsidR="00612AEE" w:rsidRPr="00E73989" w14:paraId="1356992F" w14:textId="77777777" w:rsidTr="00B66D27">
        <w:trPr>
          <w:trHeight w:val="283"/>
          <w:jc w:val="center"/>
        </w:trPr>
        <w:tc>
          <w:tcPr>
            <w:tcW w:w="5061" w:type="dxa"/>
            <w:vAlign w:val="center"/>
          </w:tcPr>
          <w:p w14:paraId="279F08BE" w14:textId="77777777" w:rsidR="00612AEE" w:rsidRPr="00E73989" w:rsidRDefault="00612AEE" w:rsidP="00233C76">
            <w:pPr>
              <w:rPr>
                <w:rFonts w:ascii="Helvetica" w:hAnsi="Helvetica" w:cs="Helvetica"/>
                <w:color w:val="000000" w:themeColor="text1"/>
                <w:sz w:val="20"/>
                <w:szCs w:val="20"/>
              </w:rPr>
            </w:pPr>
            <w:r w:rsidRPr="00E73989">
              <w:rPr>
                <w:rFonts w:ascii="Helvetica" w:hAnsi="Helvetica" w:cs="Helvetica"/>
                <w:color w:val="000000" w:themeColor="text1"/>
                <w:sz w:val="20"/>
                <w:szCs w:val="20"/>
              </w:rPr>
              <w:t>Business Environment Risk</w:t>
            </w:r>
          </w:p>
        </w:tc>
        <w:tc>
          <w:tcPr>
            <w:tcW w:w="3019" w:type="dxa"/>
            <w:gridSpan w:val="2"/>
            <w:vAlign w:val="center"/>
          </w:tcPr>
          <w:p w14:paraId="1B1F1ADF" w14:textId="77777777" w:rsidR="00612AEE" w:rsidRPr="00E73989" w:rsidRDefault="00612AEE" w:rsidP="00233C76">
            <w:pPr>
              <w:jc w:val="center"/>
              <w:rPr>
                <w:rFonts w:ascii="Helvetica" w:hAnsi="Helvetica" w:cs="Helvetica"/>
                <w:color w:val="000000" w:themeColor="text1"/>
                <w:sz w:val="20"/>
                <w:szCs w:val="20"/>
              </w:rPr>
            </w:pPr>
            <w:r w:rsidRPr="00E73989">
              <w:rPr>
                <w:rFonts w:ascii="Helvetica" w:hAnsi="Helvetica" w:cs="Helvetica"/>
                <w:color w:val="000000" w:themeColor="text1"/>
                <w:sz w:val="20"/>
                <w:szCs w:val="20"/>
              </w:rPr>
              <w:t>E **</w:t>
            </w:r>
          </w:p>
        </w:tc>
      </w:tr>
      <w:tr w:rsidR="00612AEE" w:rsidRPr="00E73989" w14:paraId="23A34356" w14:textId="77777777" w:rsidTr="00CD3AA4">
        <w:trPr>
          <w:trHeight w:val="283"/>
          <w:jc w:val="center"/>
        </w:trPr>
        <w:tc>
          <w:tcPr>
            <w:tcW w:w="8080" w:type="dxa"/>
            <w:gridSpan w:val="3"/>
            <w:shd w:val="clear" w:color="auto" w:fill="00BBFE"/>
            <w:vAlign w:val="center"/>
          </w:tcPr>
          <w:p w14:paraId="7C3F4E14" w14:textId="6511738D" w:rsidR="00612AEE" w:rsidRPr="00E73989" w:rsidRDefault="00B66D27" w:rsidP="00233C76">
            <w:pPr>
              <w:jc w:val="center"/>
              <w:rPr>
                <w:rFonts w:ascii="Helvetica" w:hAnsi="Helvetica" w:cs="Helvetica"/>
                <w:b/>
                <w:color w:val="000000" w:themeColor="text1"/>
                <w:sz w:val="20"/>
                <w:szCs w:val="20"/>
              </w:rPr>
            </w:pPr>
            <w:r w:rsidRPr="00E73989">
              <w:rPr>
                <w:rFonts w:ascii="Helvetica" w:hAnsi="Helvetica" w:cs="Helvetica"/>
                <w:b/>
                <w:color w:val="FFFFFF" w:themeColor="background1"/>
                <w:sz w:val="20"/>
                <w:szCs w:val="20"/>
              </w:rPr>
              <w:t>Direct investments</w:t>
            </w:r>
          </w:p>
        </w:tc>
      </w:tr>
      <w:tr w:rsidR="00612AEE" w:rsidRPr="00E73989" w14:paraId="052E3FC5" w14:textId="77777777" w:rsidTr="00B66D27">
        <w:trPr>
          <w:trHeight w:val="283"/>
          <w:jc w:val="center"/>
        </w:trPr>
        <w:tc>
          <w:tcPr>
            <w:tcW w:w="5061" w:type="dxa"/>
            <w:vAlign w:val="center"/>
          </w:tcPr>
          <w:p w14:paraId="495B0DA3" w14:textId="77777777" w:rsidR="00612AEE" w:rsidRPr="00E73989" w:rsidRDefault="00612AEE" w:rsidP="00233C76">
            <w:pPr>
              <w:rPr>
                <w:rFonts w:ascii="Helvetica" w:hAnsi="Helvetica" w:cs="Helvetica"/>
                <w:color w:val="000000" w:themeColor="text1"/>
                <w:sz w:val="20"/>
                <w:szCs w:val="20"/>
              </w:rPr>
            </w:pPr>
            <w:r w:rsidRPr="00E73989">
              <w:rPr>
                <w:rFonts w:ascii="Helvetica" w:hAnsi="Helvetica" w:cs="Helvetica"/>
                <w:color w:val="000000" w:themeColor="text1"/>
                <w:sz w:val="20"/>
                <w:szCs w:val="20"/>
              </w:rPr>
              <w:t>Political Violence Risk</w:t>
            </w:r>
          </w:p>
        </w:tc>
        <w:tc>
          <w:tcPr>
            <w:tcW w:w="3019" w:type="dxa"/>
            <w:gridSpan w:val="2"/>
            <w:vAlign w:val="center"/>
          </w:tcPr>
          <w:p w14:paraId="4527066C" w14:textId="77777777" w:rsidR="00612AEE" w:rsidRPr="00E73989" w:rsidRDefault="00612AEE" w:rsidP="00233C76">
            <w:pPr>
              <w:jc w:val="center"/>
              <w:rPr>
                <w:rFonts w:ascii="Helvetica" w:hAnsi="Helvetica" w:cs="Helvetica"/>
                <w:color w:val="000000" w:themeColor="text1"/>
                <w:sz w:val="20"/>
                <w:szCs w:val="20"/>
              </w:rPr>
            </w:pPr>
            <w:r w:rsidRPr="00E73989">
              <w:rPr>
                <w:rFonts w:ascii="Helvetica" w:hAnsi="Helvetica" w:cs="Helvetica"/>
                <w:color w:val="000000" w:themeColor="text1"/>
                <w:sz w:val="20"/>
                <w:szCs w:val="20"/>
              </w:rPr>
              <w:t>2</w:t>
            </w:r>
          </w:p>
        </w:tc>
      </w:tr>
      <w:tr w:rsidR="00612AEE" w:rsidRPr="00E73989" w14:paraId="52587E7E" w14:textId="77777777" w:rsidTr="00B66D27">
        <w:trPr>
          <w:trHeight w:val="283"/>
          <w:jc w:val="center"/>
        </w:trPr>
        <w:tc>
          <w:tcPr>
            <w:tcW w:w="5061" w:type="dxa"/>
            <w:vAlign w:val="center"/>
          </w:tcPr>
          <w:p w14:paraId="5A511692" w14:textId="77777777" w:rsidR="00612AEE" w:rsidRPr="00E73989" w:rsidRDefault="00612AEE" w:rsidP="00233C76">
            <w:pPr>
              <w:rPr>
                <w:rFonts w:ascii="Helvetica" w:hAnsi="Helvetica" w:cs="Helvetica"/>
                <w:color w:val="000000" w:themeColor="text1"/>
                <w:sz w:val="20"/>
                <w:szCs w:val="20"/>
              </w:rPr>
            </w:pPr>
            <w:r w:rsidRPr="00E73989">
              <w:rPr>
                <w:rFonts w:ascii="Helvetica" w:hAnsi="Helvetica" w:cs="Helvetica"/>
                <w:color w:val="000000" w:themeColor="text1"/>
                <w:sz w:val="20"/>
                <w:szCs w:val="20"/>
              </w:rPr>
              <w:t>Risk of expropriation and government action</w:t>
            </w:r>
          </w:p>
        </w:tc>
        <w:tc>
          <w:tcPr>
            <w:tcW w:w="3019" w:type="dxa"/>
            <w:gridSpan w:val="2"/>
            <w:vAlign w:val="center"/>
          </w:tcPr>
          <w:p w14:paraId="73DBCD1B" w14:textId="77777777" w:rsidR="00612AEE" w:rsidRPr="00E73989" w:rsidRDefault="00612AEE" w:rsidP="00233C76">
            <w:pPr>
              <w:jc w:val="center"/>
              <w:rPr>
                <w:rFonts w:ascii="Helvetica" w:hAnsi="Helvetica" w:cs="Helvetica"/>
                <w:color w:val="000000" w:themeColor="text1"/>
                <w:sz w:val="20"/>
                <w:szCs w:val="20"/>
              </w:rPr>
            </w:pPr>
            <w:r w:rsidRPr="00E73989">
              <w:rPr>
                <w:rFonts w:ascii="Helvetica" w:hAnsi="Helvetica" w:cs="Helvetica"/>
                <w:color w:val="000000" w:themeColor="text1"/>
                <w:sz w:val="20"/>
                <w:szCs w:val="20"/>
              </w:rPr>
              <w:t>3</w:t>
            </w:r>
          </w:p>
        </w:tc>
      </w:tr>
      <w:tr w:rsidR="00612AEE" w:rsidRPr="00E73989" w14:paraId="405BEB05" w14:textId="77777777" w:rsidTr="00B66D27">
        <w:trPr>
          <w:trHeight w:val="283"/>
          <w:jc w:val="center"/>
        </w:trPr>
        <w:tc>
          <w:tcPr>
            <w:tcW w:w="5061" w:type="dxa"/>
            <w:vAlign w:val="center"/>
          </w:tcPr>
          <w:p w14:paraId="27F98104" w14:textId="77777777" w:rsidR="00612AEE" w:rsidRPr="00E73989" w:rsidRDefault="00612AEE" w:rsidP="00233C76">
            <w:pPr>
              <w:rPr>
                <w:rFonts w:ascii="Helvetica" w:hAnsi="Helvetica" w:cs="Helvetica"/>
                <w:color w:val="000000" w:themeColor="text1"/>
                <w:sz w:val="20"/>
                <w:szCs w:val="20"/>
              </w:rPr>
            </w:pPr>
            <w:r w:rsidRPr="00E73989">
              <w:rPr>
                <w:rFonts w:ascii="Helvetica" w:hAnsi="Helvetica" w:cs="Helvetica"/>
                <w:color w:val="000000" w:themeColor="text1"/>
                <w:sz w:val="20"/>
                <w:szCs w:val="20"/>
              </w:rPr>
              <w:t xml:space="preserve">Currency Inconvertibility and Transfer </w:t>
            </w:r>
          </w:p>
        </w:tc>
        <w:tc>
          <w:tcPr>
            <w:tcW w:w="3019" w:type="dxa"/>
            <w:gridSpan w:val="2"/>
            <w:vAlign w:val="center"/>
          </w:tcPr>
          <w:p w14:paraId="29D736BE" w14:textId="77777777" w:rsidR="00612AEE" w:rsidRPr="00E73989" w:rsidRDefault="00612AEE" w:rsidP="00233C76">
            <w:pPr>
              <w:jc w:val="center"/>
              <w:rPr>
                <w:rFonts w:ascii="Helvetica" w:hAnsi="Helvetica" w:cs="Helvetica"/>
                <w:color w:val="000000" w:themeColor="text1"/>
                <w:sz w:val="20"/>
                <w:szCs w:val="20"/>
              </w:rPr>
            </w:pPr>
            <w:r w:rsidRPr="00E73989">
              <w:rPr>
                <w:rFonts w:ascii="Helvetica" w:hAnsi="Helvetica" w:cs="Helvetica"/>
                <w:color w:val="000000" w:themeColor="text1"/>
                <w:sz w:val="20"/>
                <w:szCs w:val="20"/>
              </w:rPr>
              <w:t>5</w:t>
            </w:r>
          </w:p>
        </w:tc>
      </w:tr>
      <w:tr w:rsidR="00612AEE" w:rsidRPr="00E73989" w14:paraId="2B468FEC" w14:textId="77777777" w:rsidTr="00B66D27">
        <w:trPr>
          <w:trHeight w:val="283"/>
          <w:jc w:val="center"/>
        </w:trPr>
        <w:tc>
          <w:tcPr>
            <w:tcW w:w="8080" w:type="dxa"/>
            <w:gridSpan w:val="3"/>
            <w:vAlign w:val="center"/>
          </w:tcPr>
          <w:p w14:paraId="2153EA0C" w14:textId="77777777" w:rsidR="00612AEE" w:rsidRPr="00E73989" w:rsidRDefault="00612AEE" w:rsidP="00B66D27">
            <w:pPr>
              <w:rPr>
                <w:rFonts w:ascii="Helvetica" w:hAnsi="Helvetica" w:cs="Helvetica"/>
                <w:color w:val="000000" w:themeColor="text1"/>
                <w:sz w:val="20"/>
                <w:szCs w:val="20"/>
              </w:rPr>
            </w:pPr>
            <w:r w:rsidRPr="00E73989">
              <w:rPr>
                <w:rFonts w:ascii="Helvetica" w:hAnsi="Helvetica" w:cs="Helvetica"/>
                <w:color w:val="000000" w:themeColor="text1"/>
                <w:sz w:val="20"/>
                <w:szCs w:val="20"/>
              </w:rPr>
              <w:t>* Where 1 is associated with the least risk and 7 the most.</w:t>
            </w:r>
          </w:p>
        </w:tc>
      </w:tr>
      <w:tr w:rsidR="00612AEE" w:rsidRPr="00E73989" w14:paraId="666B3F57" w14:textId="77777777" w:rsidTr="00B66D27">
        <w:trPr>
          <w:trHeight w:val="283"/>
          <w:jc w:val="center"/>
        </w:trPr>
        <w:tc>
          <w:tcPr>
            <w:tcW w:w="8080" w:type="dxa"/>
            <w:gridSpan w:val="3"/>
            <w:vAlign w:val="center"/>
          </w:tcPr>
          <w:p w14:paraId="4D0C281A" w14:textId="77777777" w:rsidR="00612AEE" w:rsidRPr="00E73989" w:rsidRDefault="00612AEE" w:rsidP="00233C76">
            <w:pPr>
              <w:rPr>
                <w:rFonts w:ascii="Helvetica" w:hAnsi="Helvetica" w:cs="Helvetica"/>
                <w:color w:val="000000" w:themeColor="text1"/>
                <w:sz w:val="20"/>
                <w:szCs w:val="20"/>
              </w:rPr>
            </w:pPr>
            <w:r w:rsidRPr="00E73989">
              <w:rPr>
                <w:rFonts w:ascii="Helvetica" w:hAnsi="Helvetica" w:cs="Helvetica"/>
                <w:color w:val="000000" w:themeColor="text1"/>
                <w:sz w:val="20"/>
                <w:szCs w:val="20"/>
              </w:rPr>
              <w:t>** Where B is associated with mid risk; A is low risk and G is high risk.</w:t>
            </w:r>
          </w:p>
        </w:tc>
      </w:tr>
    </w:tbl>
    <w:p w14:paraId="3B69DAE7" w14:textId="7130E3ED" w:rsidR="00612AEE" w:rsidRPr="00B66D27" w:rsidRDefault="00B66D27" w:rsidP="00B66D27">
      <w:pPr>
        <w:spacing w:after="0"/>
        <w:ind w:firstLine="720"/>
        <w:rPr>
          <w:rFonts w:ascii="Helvetica" w:hAnsi="Helvetica" w:cs="Helvetica"/>
          <w:i/>
          <w:sz w:val="16"/>
          <w:szCs w:val="16"/>
        </w:rPr>
      </w:pPr>
      <w:r w:rsidRPr="00B66D27">
        <w:rPr>
          <w:rFonts w:ascii="Helvetica" w:hAnsi="Helvetica" w:cs="Helvetica"/>
          <w:i/>
          <w:sz w:val="16"/>
          <w:szCs w:val="16"/>
        </w:rPr>
        <w:t>Source: ONDD (</w:t>
      </w:r>
      <w:r w:rsidR="00612AEE" w:rsidRPr="00B66D27">
        <w:rPr>
          <w:rFonts w:ascii="Helvetica" w:hAnsi="Helvetica" w:cs="Helvetica"/>
          <w:i/>
          <w:sz w:val="16"/>
          <w:szCs w:val="16"/>
        </w:rPr>
        <w:t>2021</w:t>
      </w:r>
      <w:r w:rsidRPr="00B66D27">
        <w:rPr>
          <w:rFonts w:ascii="Helvetica" w:hAnsi="Helvetica" w:cs="Helvetica"/>
          <w:i/>
          <w:sz w:val="16"/>
          <w:szCs w:val="16"/>
        </w:rPr>
        <w:t>)</w:t>
      </w:r>
    </w:p>
    <w:p w14:paraId="66FF91C7" w14:textId="77777777" w:rsidR="00612AEE" w:rsidRPr="00E73989" w:rsidRDefault="00612AEE" w:rsidP="00612AEE">
      <w:pPr>
        <w:spacing w:after="0"/>
        <w:rPr>
          <w:rFonts w:ascii="Helvetica" w:hAnsi="Helvetica" w:cs="Helvetica"/>
          <w:i/>
          <w:color w:val="0070C0"/>
          <w:sz w:val="20"/>
          <w:szCs w:val="20"/>
        </w:rPr>
      </w:pPr>
    </w:p>
    <w:p w14:paraId="75887288" w14:textId="77777777" w:rsidR="00612AEE" w:rsidRPr="00E73989" w:rsidRDefault="00612AEE" w:rsidP="00612AEE">
      <w:pPr>
        <w:spacing w:after="0"/>
        <w:rPr>
          <w:rFonts w:ascii="Helvetica" w:hAnsi="Helvetica" w:cs="Helvetica"/>
          <w:i/>
          <w:color w:val="0070C0"/>
          <w:sz w:val="20"/>
          <w:szCs w:val="20"/>
        </w:rPr>
      </w:pPr>
    </w:p>
    <w:p w14:paraId="0E9EB32F" w14:textId="77777777" w:rsidR="00612AEE" w:rsidRPr="00E73989" w:rsidRDefault="00612AEE" w:rsidP="00612AEE">
      <w:pPr>
        <w:spacing w:after="0"/>
        <w:rPr>
          <w:rFonts w:ascii="Helvetica" w:hAnsi="Helvetica" w:cs="Helvetica"/>
          <w:i/>
          <w:color w:val="0070C0"/>
          <w:sz w:val="20"/>
          <w:szCs w:val="20"/>
        </w:rPr>
      </w:pPr>
    </w:p>
    <w:p w14:paraId="794CDB93" w14:textId="77777777" w:rsidR="00612AEE" w:rsidRPr="00E73989" w:rsidRDefault="00612AEE" w:rsidP="00612AEE">
      <w:pPr>
        <w:spacing w:after="0"/>
        <w:rPr>
          <w:rFonts w:ascii="Helvetica" w:hAnsi="Helvetica" w:cs="Helvetica"/>
          <w:i/>
          <w:color w:val="0070C0"/>
          <w:sz w:val="20"/>
          <w:szCs w:val="20"/>
        </w:rPr>
      </w:pPr>
    </w:p>
    <w:p w14:paraId="14909DE0" w14:textId="77777777" w:rsidR="00612AEE" w:rsidRPr="00E73989" w:rsidRDefault="00612AEE" w:rsidP="00612AEE">
      <w:pPr>
        <w:spacing w:after="0"/>
        <w:rPr>
          <w:rFonts w:ascii="Helvetica" w:hAnsi="Helvetica" w:cs="Helvetica"/>
          <w:i/>
          <w:color w:val="0070C0"/>
          <w:sz w:val="20"/>
          <w:szCs w:val="20"/>
        </w:rPr>
      </w:pPr>
    </w:p>
    <w:p w14:paraId="0B055D70" w14:textId="77777777" w:rsidR="00612AEE" w:rsidRPr="00E73989" w:rsidRDefault="00612AEE" w:rsidP="00612AEE">
      <w:pPr>
        <w:spacing w:after="0"/>
        <w:rPr>
          <w:rFonts w:ascii="Helvetica" w:hAnsi="Helvetica" w:cs="Helvetica"/>
          <w:i/>
          <w:color w:val="0070C0"/>
          <w:sz w:val="20"/>
          <w:szCs w:val="20"/>
        </w:rPr>
      </w:pPr>
    </w:p>
    <w:p w14:paraId="67DE5AF7" w14:textId="77777777" w:rsidR="00612AEE" w:rsidRPr="00E73989" w:rsidRDefault="00612AEE" w:rsidP="00612AEE">
      <w:pPr>
        <w:spacing w:after="0"/>
        <w:rPr>
          <w:rFonts w:ascii="Helvetica" w:hAnsi="Helvetica" w:cs="Helvetica"/>
          <w:i/>
          <w:color w:val="0070C0"/>
          <w:sz w:val="20"/>
          <w:szCs w:val="20"/>
        </w:rPr>
      </w:pPr>
    </w:p>
    <w:p w14:paraId="5854A84B" w14:textId="77777777" w:rsidR="00612AEE" w:rsidRPr="00E73989" w:rsidRDefault="00612AEE" w:rsidP="00612AEE">
      <w:pPr>
        <w:spacing w:after="0"/>
        <w:rPr>
          <w:rFonts w:ascii="Helvetica" w:hAnsi="Helvetica" w:cs="Helvetica"/>
          <w:i/>
          <w:color w:val="0070C0"/>
          <w:sz w:val="20"/>
          <w:szCs w:val="20"/>
        </w:rPr>
      </w:pPr>
    </w:p>
    <w:p w14:paraId="42C93B09" w14:textId="77777777" w:rsidR="00612AEE" w:rsidRPr="00E73989" w:rsidRDefault="00612AEE" w:rsidP="00612AEE">
      <w:pPr>
        <w:spacing w:after="0"/>
        <w:rPr>
          <w:rFonts w:ascii="Helvetica" w:hAnsi="Helvetica" w:cs="Helvetica"/>
          <w:i/>
          <w:color w:val="0070C0"/>
          <w:sz w:val="20"/>
          <w:szCs w:val="20"/>
        </w:rPr>
      </w:pPr>
    </w:p>
    <w:p w14:paraId="3CEA906D" w14:textId="77777777" w:rsidR="00612AEE" w:rsidRPr="00E73989" w:rsidRDefault="00612AEE" w:rsidP="00612AEE">
      <w:pPr>
        <w:spacing w:after="0"/>
        <w:rPr>
          <w:rFonts w:ascii="Helvetica" w:hAnsi="Helvetica" w:cs="Helvetica"/>
          <w:i/>
          <w:color w:val="0070C0"/>
          <w:sz w:val="20"/>
          <w:szCs w:val="20"/>
        </w:rPr>
      </w:pPr>
    </w:p>
    <w:p w14:paraId="0DB37C5E" w14:textId="77777777" w:rsidR="00612AEE" w:rsidRPr="00E73989" w:rsidRDefault="00612AEE" w:rsidP="00612AEE">
      <w:pPr>
        <w:spacing w:after="0"/>
        <w:rPr>
          <w:rFonts w:ascii="Helvetica" w:hAnsi="Helvetica" w:cs="Helvetica"/>
          <w:i/>
          <w:color w:val="0070C0"/>
          <w:sz w:val="20"/>
          <w:szCs w:val="20"/>
        </w:rPr>
      </w:pPr>
    </w:p>
    <w:p w14:paraId="39B6E2AA" w14:textId="77777777" w:rsidR="00612AEE" w:rsidRPr="00E73989" w:rsidRDefault="00612AEE" w:rsidP="00612AEE">
      <w:pPr>
        <w:spacing w:after="0"/>
        <w:rPr>
          <w:rFonts w:ascii="Helvetica" w:hAnsi="Helvetica" w:cs="Helvetica"/>
          <w:i/>
          <w:color w:val="0070C0"/>
          <w:sz w:val="20"/>
          <w:szCs w:val="20"/>
        </w:rPr>
      </w:pPr>
    </w:p>
    <w:p w14:paraId="3822564C" w14:textId="77777777" w:rsidR="00612AEE" w:rsidRPr="00E73989" w:rsidRDefault="00612AEE" w:rsidP="00612AEE">
      <w:pPr>
        <w:spacing w:after="0"/>
        <w:rPr>
          <w:rFonts w:ascii="Helvetica" w:hAnsi="Helvetica" w:cs="Helvetica"/>
          <w:i/>
          <w:color w:val="0070C0"/>
          <w:sz w:val="20"/>
          <w:szCs w:val="20"/>
        </w:rPr>
      </w:pPr>
    </w:p>
    <w:p w14:paraId="1855607A" w14:textId="77777777" w:rsidR="00612AEE" w:rsidRPr="00E73989" w:rsidRDefault="00612AEE" w:rsidP="00612AEE">
      <w:pPr>
        <w:spacing w:after="0"/>
        <w:rPr>
          <w:rFonts w:ascii="Helvetica" w:hAnsi="Helvetica" w:cs="Helvetica"/>
          <w:i/>
          <w:color w:val="0070C0"/>
          <w:sz w:val="20"/>
          <w:szCs w:val="20"/>
        </w:rPr>
      </w:pPr>
    </w:p>
    <w:p w14:paraId="1E62EB02" w14:textId="77777777" w:rsidR="00612AEE" w:rsidRPr="00E73989" w:rsidRDefault="00612AEE" w:rsidP="00612AEE">
      <w:pPr>
        <w:spacing w:after="0"/>
        <w:rPr>
          <w:rFonts w:ascii="Helvetica" w:hAnsi="Helvetica" w:cs="Helvetica"/>
          <w:i/>
          <w:color w:val="0070C0"/>
          <w:sz w:val="20"/>
          <w:szCs w:val="20"/>
        </w:rPr>
      </w:pPr>
    </w:p>
    <w:p w14:paraId="53DE7887" w14:textId="77777777" w:rsidR="00612AEE" w:rsidRPr="00E73989" w:rsidRDefault="00612AEE" w:rsidP="00612AEE">
      <w:pPr>
        <w:spacing w:after="0"/>
        <w:rPr>
          <w:rFonts w:ascii="Helvetica" w:hAnsi="Helvetica" w:cs="Helvetica"/>
          <w:i/>
          <w:color w:val="0070C0"/>
          <w:sz w:val="20"/>
          <w:szCs w:val="20"/>
        </w:rPr>
      </w:pPr>
    </w:p>
    <w:p w14:paraId="18C2B3DA" w14:textId="77777777" w:rsidR="00612AEE" w:rsidRPr="00E73989" w:rsidRDefault="00612AEE" w:rsidP="00612AEE">
      <w:pPr>
        <w:spacing w:after="0"/>
        <w:rPr>
          <w:rFonts w:ascii="Helvetica" w:hAnsi="Helvetica" w:cs="Helvetica"/>
          <w:i/>
          <w:color w:val="0070C0"/>
          <w:sz w:val="20"/>
          <w:szCs w:val="20"/>
        </w:rPr>
      </w:pPr>
    </w:p>
    <w:p w14:paraId="007A7FC0" w14:textId="77777777" w:rsidR="00612AEE" w:rsidRPr="00E73989" w:rsidRDefault="00612AEE" w:rsidP="00612AEE">
      <w:pPr>
        <w:spacing w:after="0"/>
        <w:rPr>
          <w:rFonts w:ascii="Helvetica" w:hAnsi="Helvetica" w:cs="Helvetica"/>
          <w:i/>
          <w:color w:val="0070C0"/>
          <w:sz w:val="20"/>
          <w:szCs w:val="20"/>
        </w:rPr>
      </w:pPr>
    </w:p>
    <w:p w14:paraId="76839C26" w14:textId="77777777" w:rsidR="00612AEE" w:rsidRPr="00E73989" w:rsidRDefault="00612AEE" w:rsidP="00612AEE">
      <w:pPr>
        <w:spacing w:after="0"/>
        <w:rPr>
          <w:rFonts w:ascii="Helvetica" w:hAnsi="Helvetica" w:cs="Helvetica"/>
          <w:i/>
          <w:color w:val="0070C0"/>
          <w:sz w:val="20"/>
          <w:szCs w:val="20"/>
        </w:rPr>
      </w:pPr>
    </w:p>
    <w:p w14:paraId="320A4EE0" w14:textId="77777777" w:rsidR="00612AEE" w:rsidRPr="00E73989" w:rsidRDefault="00612AEE" w:rsidP="00612AEE">
      <w:pPr>
        <w:spacing w:after="0"/>
        <w:rPr>
          <w:rFonts w:ascii="Helvetica" w:hAnsi="Helvetica" w:cs="Helvetica"/>
          <w:i/>
          <w:color w:val="0070C0"/>
          <w:sz w:val="20"/>
          <w:szCs w:val="20"/>
        </w:rPr>
      </w:pPr>
    </w:p>
    <w:p w14:paraId="5080AA23" w14:textId="77777777" w:rsidR="00612AEE" w:rsidRPr="00E73989" w:rsidRDefault="00612AEE" w:rsidP="00612AEE">
      <w:pPr>
        <w:spacing w:after="0"/>
        <w:rPr>
          <w:rFonts w:ascii="Helvetica" w:hAnsi="Helvetica" w:cs="Helvetica"/>
          <w:i/>
          <w:color w:val="0070C0"/>
          <w:sz w:val="20"/>
          <w:szCs w:val="20"/>
        </w:rPr>
      </w:pPr>
    </w:p>
    <w:p w14:paraId="730BD47B" w14:textId="77777777" w:rsidR="00612AEE" w:rsidRPr="00E73989" w:rsidRDefault="00612AEE" w:rsidP="00612AEE">
      <w:pPr>
        <w:spacing w:after="0"/>
        <w:rPr>
          <w:rFonts w:ascii="Helvetica" w:hAnsi="Helvetica" w:cs="Helvetica"/>
          <w:i/>
          <w:color w:val="0070C0"/>
          <w:sz w:val="20"/>
          <w:szCs w:val="20"/>
        </w:rPr>
      </w:pPr>
    </w:p>
    <w:p w14:paraId="27E375BC" w14:textId="77777777" w:rsidR="00612AEE" w:rsidRPr="00E73989" w:rsidRDefault="00612AEE" w:rsidP="00612AEE">
      <w:pPr>
        <w:spacing w:after="0"/>
        <w:rPr>
          <w:rFonts w:ascii="Helvetica" w:hAnsi="Helvetica" w:cs="Helvetica"/>
          <w:i/>
          <w:color w:val="0070C0"/>
          <w:sz w:val="20"/>
          <w:szCs w:val="20"/>
        </w:rPr>
      </w:pPr>
    </w:p>
    <w:p w14:paraId="5C287B4C" w14:textId="77777777" w:rsidR="00612AEE" w:rsidRPr="00E73989" w:rsidRDefault="00612AEE" w:rsidP="00612AEE">
      <w:pPr>
        <w:spacing w:after="0"/>
        <w:rPr>
          <w:rFonts w:ascii="Helvetica" w:hAnsi="Helvetica" w:cs="Helvetica"/>
          <w:i/>
          <w:color w:val="0070C0"/>
          <w:sz w:val="20"/>
          <w:szCs w:val="20"/>
        </w:rPr>
      </w:pPr>
    </w:p>
    <w:p w14:paraId="180EEFD3" w14:textId="77777777" w:rsidR="00612AEE" w:rsidRPr="00E73989" w:rsidRDefault="00612AEE" w:rsidP="00612AEE">
      <w:pPr>
        <w:spacing w:after="0"/>
        <w:rPr>
          <w:rFonts w:ascii="Helvetica" w:hAnsi="Helvetica" w:cs="Helvetica"/>
          <w:i/>
          <w:color w:val="0070C0"/>
          <w:sz w:val="20"/>
          <w:szCs w:val="20"/>
        </w:rPr>
      </w:pPr>
    </w:p>
    <w:p w14:paraId="101323A2" w14:textId="77777777" w:rsidR="00612AEE" w:rsidRPr="00E73989" w:rsidRDefault="00612AEE" w:rsidP="00612AEE">
      <w:pPr>
        <w:spacing w:after="0"/>
        <w:rPr>
          <w:rFonts w:ascii="Helvetica" w:hAnsi="Helvetica" w:cs="Helvetica"/>
          <w:i/>
          <w:color w:val="0070C0"/>
          <w:sz w:val="20"/>
          <w:szCs w:val="20"/>
        </w:rPr>
      </w:pPr>
    </w:p>
    <w:p w14:paraId="494AB73F" w14:textId="77777777" w:rsidR="00612AEE" w:rsidRPr="00E73989" w:rsidRDefault="00612AEE" w:rsidP="00612AEE">
      <w:pPr>
        <w:spacing w:after="0"/>
        <w:rPr>
          <w:rFonts w:ascii="Helvetica" w:hAnsi="Helvetica" w:cs="Helvetica"/>
          <w:i/>
          <w:color w:val="0070C0"/>
          <w:sz w:val="20"/>
          <w:szCs w:val="20"/>
        </w:rPr>
      </w:pPr>
    </w:p>
    <w:p w14:paraId="5264CAF8" w14:textId="77777777" w:rsidR="00612AEE" w:rsidRPr="00E73989" w:rsidRDefault="00612AEE" w:rsidP="00612AEE">
      <w:pPr>
        <w:spacing w:after="0"/>
        <w:rPr>
          <w:rFonts w:ascii="Helvetica" w:hAnsi="Helvetica" w:cs="Helvetica"/>
          <w:i/>
          <w:color w:val="0070C0"/>
          <w:sz w:val="20"/>
          <w:szCs w:val="20"/>
        </w:rPr>
      </w:pPr>
    </w:p>
    <w:p w14:paraId="7FCB7930" w14:textId="77777777" w:rsidR="00612AEE" w:rsidRPr="00E73989" w:rsidRDefault="00612AEE" w:rsidP="00612AEE">
      <w:pPr>
        <w:spacing w:after="0"/>
        <w:rPr>
          <w:rFonts w:ascii="Helvetica" w:hAnsi="Helvetica" w:cs="Helvetica"/>
          <w:i/>
          <w:color w:val="0070C0"/>
          <w:sz w:val="20"/>
          <w:szCs w:val="20"/>
        </w:rPr>
      </w:pPr>
    </w:p>
    <w:p w14:paraId="3BF51243" w14:textId="77777777" w:rsidR="00612AEE" w:rsidRPr="00E73989" w:rsidRDefault="00612AEE" w:rsidP="00612AEE">
      <w:pPr>
        <w:spacing w:after="0"/>
        <w:rPr>
          <w:rFonts w:ascii="Helvetica" w:hAnsi="Helvetica" w:cs="Helvetica"/>
          <w:i/>
          <w:color w:val="0070C0"/>
          <w:sz w:val="20"/>
          <w:szCs w:val="20"/>
        </w:rPr>
      </w:pPr>
    </w:p>
    <w:p w14:paraId="43CA5680" w14:textId="61B1016C" w:rsidR="00612AEE" w:rsidRDefault="00612AEE" w:rsidP="00612AEE">
      <w:pPr>
        <w:spacing w:after="0"/>
        <w:rPr>
          <w:rFonts w:ascii="Helvetica" w:hAnsi="Helvetica" w:cs="Helvetica"/>
          <w:color w:val="0070C0"/>
          <w:sz w:val="20"/>
          <w:szCs w:val="20"/>
        </w:rPr>
      </w:pPr>
    </w:p>
    <w:p w14:paraId="5E9066D2" w14:textId="1828DA9A" w:rsidR="00B66D27" w:rsidRDefault="00B66D27" w:rsidP="00612AEE">
      <w:pPr>
        <w:spacing w:after="0"/>
        <w:rPr>
          <w:rFonts w:ascii="Helvetica" w:hAnsi="Helvetica" w:cs="Helvetica"/>
          <w:color w:val="0070C0"/>
          <w:sz w:val="20"/>
          <w:szCs w:val="20"/>
        </w:rPr>
      </w:pPr>
    </w:p>
    <w:p w14:paraId="7256FBF7" w14:textId="280910CF" w:rsidR="00B66D27" w:rsidRDefault="00B66D27" w:rsidP="00612AEE">
      <w:pPr>
        <w:spacing w:after="0"/>
        <w:rPr>
          <w:rFonts w:ascii="Helvetica" w:hAnsi="Helvetica" w:cs="Helvetica"/>
          <w:color w:val="0070C0"/>
          <w:sz w:val="20"/>
          <w:szCs w:val="20"/>
        </w:rPr>
      </w:pPr>
    </w:p>
    <w:p w14:paraId="7ED6A90A" w14:textId="3E1EEC23" w:rsidR="00B66D27" w:rsidRDefault="00B66D27" w:rsidP="00612AEE">
      <w:pPr>
        <w:spacing w:after="0"/>
        <w:rPr>
          <w:rFonts w:ascii="Helvetica" w:hAnsi="Helvetica" w:cs="Helvetica"/>
          <w:color w:val="0070C0"/>
          <w:sz w:val="20"/>
          <w:szCs w:val="20"/>
        </w:rPr>
      </w:pPr>
    </w:p>
    <w:p w14:paraId="4355C7E4" w14:textId="03BB71AC" w:rsidR="00B66D27" w:rsidRDefault="00B66D27" w:rsidP="00612AEE">
      <w:pPr>
        <w:spacing w:after="0"/>
        <w:rPr>
          <w:rFonts w:ascii="Helvetica" w:hAnsi="Helvetica" w:cs="Helvetica"/>
          <w:color w:val="0070C0"/>
          <w:sz w:val="20"/>
          <w:szCs w:val="20"/>
        </w:rPr>
      </w:pPr>
    </w:p>
    <w:p w14:paraId="4904810A" w14:textId="77777777" w:rsidR="00B66D27" w:rsidRPr="00B66D27" w:rsidRDefault="00B66D27" w:rsidP="00612AEE">
      <w:pPr>
        <w:spacing w:after="0"/>
        <w:rPr>
          <w:rFonts w:ascii="Helvetica" w:hAnsi="Helvetica" w:cs="Helvetica"/>
          <w:color w:val="0070C0"/>
          <w:sz w:val="20"/>
          <w:szCs w:val="20"/>
        </w:rPr>
      </w:pPr>
    </w:p>
    <w:p w14:paraId="44655540" w14:textId="77777777" w:rsidR="00612AEE" w:rsidRPr="00E73989" w:rsidRDefault="00612AEE" w:rsidP="00612AEE">
      <w:pPr>
        <w:spacing w:after="0"/>
        <w:rPr>
          <w:rFonts w:ascii="Helvetica" w:hAnsi="Helvetica" w:cs="Helvetica"/>
          <w:i/>
          <w:color w:val="0070C0"/>
          <w:sz w:val="20"/>
          <w:szCs w:val="20"/>
        </w:rPr>
      </w:pPr>
    </w:p>
    <w:p w14:paraId="3C65F9EE" w14:textId="72DB07B7" w:rsidR="00612AEE" w:rsidRPr="00E73989" w:rsidRDefault="00A30941" w:rsidP="00A30941">
      <w:pPr>
        <w:pStyle w:val="Heading1"/>
        <w:ind w:left="426" w:hanging="426"/>
        <w:rPr>
          <w:sz w:val="22"/>
          <w:szCs w:val="22"/>
        </w:rPr>
      </w:pPr>
      <w:bookmarkStart w:id="7" w:name="_Toc87202381"/>
      <w:r w:rsidRPr="00E73989">
        <w:rPr>
          <w:sz w:val="22"/>
          <w:szCs w:val="22"/>
        </w:rPr>
        <w:lastRenderedPageBreak/>
        <w:t>Consumer insights</w:t>
      </w:r>
      <w:bookmarkEnd w:id="7"/>
    </w:p>
    <w:p w14:paraId="59974351" w14:textId="77777777" w:rsidR="00A30941" w:rsidRPr="00E73989" w:rsidRDefault="00A30941" w:rsidP="00A30941">
      <w:pPr>
        <w:spacing w:after="0"/>
        <w:rPr>
          <w:rFonts w:ascii="Helvetica" w:hAnsi="Helvetica" w:cs="Helvetica"/>
          <w:sz w:val="20"/>
          <w:szCs w:val="20"/>
        </w:rPr>
      </w:pPr>
    </w:p>
    <w:p w14:paraId="2F31F58E" w14:textId="79929F20" w:rsidR="00612AEE" w:rsidRPr="00E73989" w:rsidRDefault="00A30941" w:rsidP="00A30941">
      <w:pPr>
        <w:pStyle w:val="Heading2"/>
        <w:numPr>
          <w:ilvl w:val="1"/>
          <w:numId w:val="3"/>
        </w:numPr>
        <w:ind w:left="426" w:hanging="426"/>
        <w:rPr>
          <w:sz w:val="18"/>
          <w:szCs w:val="18"/>
        </w:rPr>
      </w:pPr>
      <w:bookmarkStart w:id="8" w:name="_Toc87202382"/>
      <w:r w:rsidRPr="00E73989">
        <w:t>Household income expenditure</w:t>
      </w:r>
      <w:bookmarkEnd w:id="8"/>
    </w:p>
    <w:p w14:paraId="2AA6171D" w14:textId="796766A4" w:rsidR="00612AEE" w:rsidRPr="00E73989" w:rsidRDefault="00612AEE" w:rsidP="00A30941">
      <w:pPr>
        <w:spacing w:after="0"/>
        <w:jc w:val="both"/>
        <w:rPr>
          <w:rFonts w:ascii="Helvetica" w:hAnsi="Helvetica" w:cs="Helvetica"/>
          <w:sz w:val="20"/>
          <w:szCs w:val="20"/>
        </w:rPr>
      </w:pPr>
      <w:r w:rsidRPr="00E73989">
        <w:rPr>
          <w:rFonts w:ascii="Helvetica" w:hAnsi="Helvetica" w:cs="Helvetica"/>
          <w:sz w:val="20"/>
          <w:szCs w:val="20"/>
        </w:rPr>
        <w:t>The figure below presents Ghana’s consumer expenditure a</w:t>
      </w:r>
      <w:r w:rsidR="0028072C">
        <w:rPr>
          <w:rFonts w:ascii="Helvetica" w:hAnsi="Helvetica" w:cs="Helvetica"/>
          <w:sz w:val="20"/>
          <w:szCs w:val="20"/>
        </w:rPr>
        <w:t>nd growth for the period 2016-</w:t>
      </w:r>
      <w:r w:rsidRPr="00E73989">
        <w:rPr>
          <w:rFonts w:ascii="Helvetica" w:hAnsi="Helvetica" w:cs="Helvetica"/>
          <w:sz w:val="20"/>
          <w:szCs w:val="20"/>
        </w:rPr>
        <w:t xml:space="preserve">2020. In 2020, Ghana’s consumer expenditure stood at GHS292.02bn, an increase of 8.83% from the 2019 value of GHS268.34bn. </w:t>
      </w:r>
    </w:p>
    <w:p w14:paraId="40D174CC" w14:textId="5B4B7761" w:rsidR="00612AEE" w:rsidRPr="00E73989" w:rsidRDefault="00612AEE" w:rsidP="0028072C">
      <w:pPr>
        <w:spacing w:after="0"/>
        <w:rPr>
          <w:rFonts w:ascii="Arial Narrow" w:hAnsi="Arial Narrow" w:cs="Helvetica"/>
          <w:b/>
          <w:bCs/>
          <w:sz w:val="20"/>
          <w:szCs w:val="20"/>
        </w:rPr>
      </w:pPr>
    </w:p>
    <w:p w14:paraId="0E15856D" w14:textId="7EB9E161" w:rsidR="0028072C" w:rsidRPr="0028072C" w:rsidRDefault="0028072C" w:rsidP="0028072C">
      <w:pPr>
        <w:pStyle w:val="Caption"/>
        <w:keepNext/>
        <w:spacing w:after="0"/>
        <w:rPr>
          <w:rFonts w:ascii="Helvetica" w:hAnsi="Helvetica" w:cs="Helvetica"/>
        </w:rPr>
      </w:pPr>
      <w:r w:rsidRPr="0028072C">
        <w:rPr>
          <w:rFonts w:ascii="Helvetica" w:hAnsi="Helvetica" w:cs="Helvetica"/>
        </w:rPr>
        <w:t xml:space="preserve">Figure </w:t>
      </w:r>
      <w:r w:rsidRPr="0028072C">
        <w:rPr>
          <w:rFonts w:ascii="Helvetica" w:hAnsi="Helvetica" w:cs="Helvetica"/>
        </w:rPr>
        <w:fldChar w:fldCharType="begin"/>
      </w:r>
      <w:r w:rsidRPr="0028072C">
        <w:rPr>
          <w:rFonts w:ascii="Helvetica" w:hAnsi="Helvetica" w:cs="Helvetica"/>
        </w:rPr>
        <w:instrText xml:space="preserve"> SEQ Figure \* ARABIC </w:instrText>
      </w:r>
      <w:r w:rsidRPr="0028072C">
        <w:rPr>
          <w:rFonts w:ascii="Helvetica" w:hAnsi="Helvetica" w:cs="Helvetica"/>
        </w:rPr>
        <w:fldChar w:fldCharType="separate"/>
      </w:r>
      <w:r w:rsidR="003B149F">
        <w:rPr>
          <w:rFonts w:ascii="Helvetica" w:hAnsi="Helvetica" w:cs="Helvetica"/>
          <w:noProof/>
        </w:rPr>
        <w:t>4</w:t>
      </w:r>
      <w:r w:rsidRPr="0028072C">
        <w:rPr>
          <w:rFonts w:ascii="Helvetica" w:hAnsi="Helvetica" w:cs="Helvetica"/>
        </w:rPr>
        <w:fldChar w:fldCharType="end"/>
      </w:r>
      <w:r w:rsidRPr="0028072C">
        <w:rPr>
          <w:rFonts w:ascii="Helvetica" w:hAnsi="Helvetica" w:cs="Helvetica"/>
        </w:rPr>
        <w:t>: Consumer expenditure: Ghana, 2016-2020</w:t>
      </w:r>
    </w:p>
    <w:p w14:paraId="3E7A97F7" w14:textId="4342A47A" w:rsidR="00612AEE" w:rsidRDefault="00612AEE" w:rsidP="00CD3AA4">
      <w:pPr>
        <w:spacing w:after="0"/>
        <w:rPr>
          <w:rFonts w:ascii="Helvetica" w:hAnsi="Helvetica" w:cs="Helvetica"/>
          <w:i/>
          <w:sz w:val="16"/>
          <w:szCs w:val="16"/>
        </w:rPr>
      </w:pPr>
      <w:r w:rsidRPr="00E73989">
        <w:rPr>
          <w:noProof/>
        </w:rPr>
        <w:drawing>
          <wp:inline distT="0" distB="0" distL="0" distR="0" wp14:anchorId="483D41DC" wp14:editId="70A19416">
            <wp:extent cx="6090250" cy="2423160"/>
            <wp:effectExtent l="0" t="0" r="6350" b="15240"/>
            <wp:docPr id="16" name="Chart 16">
              <a:extLst xmlns:a="http://schemas.openxmlformats.org/drawingml/2006/main">
                <a:ext uri="{FF2B5EF4-FFF2-40B4-BE49-F238E27FC236}">
                  <a16:creationId xmlns:a16="http://schemas.microsoft.com/office/drawing/2014/main" id="{431E7CCC-B732-4800-AD13-B107A4999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E73989">
        <w:t xml:space="preserve"> </w:t>
      </w:r>
      <w:r w:rsidRPr="00E73989">
        <w:rPr>
          <w:rFonts w:ascii="Helvetica" w:hAnsi="Helvetica" w:cs="Helvetica"/>
          <w:i/>
          <w:sz w:val="16"/>
          <w:szCs w:val="16"/>
        </w:rPr>
        <w:t>Sou</w:t>
      </w:r>
      <w:r w:rsidR="00CD3AA4">
        <w:rPr>
          <w:rFonts w:ascii="Helvetica" w:hAnsi="Helvetica" w:cs="Helvetica"/>
          <w:i/>
          <w:sz w:val="16"/>
          <w:szCs w:val="16"/>
        </w:rPr>
        <w:t>rce: Euromonitor International (2021) [values at current prices*]</w:t>
      </w:r>
    </w:p>
    <w:p w14:paraId="6369E11A" w14:textId="77777777" w:rsidR="00CD3AA4" w:rsidRPr="00E73989" w:rsidRDefault="00CD3AA4" w:rsidP="00CD3AA4">
      <w:pPr>
        <w:spacing w:after="0"/>
        <w:rPr>
          <w:rFonts w:ascii="Helvetica" w:hAnsi="Helvetica" w:cs="Helvetica"/>
          <w:i/>
          <w:sz w:val="16"/>
          <w:szCs w:val="16"/>
        </w:rPr>
      </w:pPr>
    </w:p>
    <w:p w14:paraId="0024C11E" w14:textId="0386C1EE" w:rsidR="00612AEE" w:rsidRPr="00E73989" w:rsidRDefault="00612AEE" w:rsidP="00A30941">
      <w:pPr>
        <w:spacing w:after="0"/>
        <w:jc w:val="both"/>
        <w:rPr>
          <w:rFonts w:ascii="Helvetica" w:hAnsi="Helvetica" w:cs="Helvetica"/>
          <w:i/>
          <w:iCs/>
          <w:sz w:val="16"/>
          <w:szCs w:val="16"/>
        </w:rPr>
      </w:pPr>
      <w:r w:rsidRPr="00E73989">
        <w:rPr>
          <w:rFonts w:ascii="Helvetica" w:hAnsi="Helvetica" w:cs="Helvetica"/>
          <w:i/>
          <w:iCs/>
          <w:sz w:val="16"/>
          <w:szCs w:val="16"/>
        </w:rPr>
        <w:t>Note: Consumer expenditure comprises personal expenditure on goods - durable, semi-durable and non-durable - and on services in the domestic market, including the imputed rent of owner-occupied dwellings, the administrative costs of general insurance and of life assurance and superannuation schemes. Consumption expenditure in the domestic market is equal to consumer expenditure by resident households plus direct purchases in the domestic market by non-resident households and minus direct purchases abroad by resident households.</w:t>
      </w:r>
    </w:p>
    <w:p w14:paraId="63CA87AC" w14:textId="77777777" w:rsidR="00A30941" w:rsidRPr="00E73989" w:rsidRDefault="00A30941" w:rsidP="00A30941">
      <w:pPr>
        <w:spacing w:after="0"/>
        <w:jc w:val="both"/>
        <w:rPr>
          <w:rFonts w:ascii="Helvetica" w:hAnsi="Helvetica" w:cs="Helvetica"/>
          <w:sz w:val="20"/>
          <w:szCs w:val="20"/>
        </w:rPr>
      </w:pPr>
    </w:p>
    <w:p w14:paraId="1D113BF8" w14:textId="35E45F25" w:rsidR="00612AEE" w:rsidRPr="00E73989" w:rsidRDefault="00612AEE" w:rsidP="00A30941">
      <w:pPr>
        <w:spacing w:after="0"/>
        <w:jc w:val="both"/>
        <w:rPr>
          <w:rFonts w:ascii="Helvetica" w:hAnsi="Helvetica" w:cs="Helvetica"/>
          <w:sz w:val="20"/>
          <w:szCs w:val="20"/>
        </w:rPr>
      </w:pPr>
      <w:r w:rsidRPr="00E73989">
        <w:rPr>
          <w:rFonts w:ascii="Helvetica" w:hAnsi="Helvetica" w:cs="Helvetica"/>
          <w:sz w:val="20"/>
          <w:szCs w:val="20"/>
        </w:rPr>
        <w:t xml:space="preserve">Ghana consumer expenditure per category in 2020 is presented in the figure below. The food and non-alcoholic beverages category was the largest consumer expenditure item in 2020, accounting for 41.56% of consumer expenditure. This was followed by housing (16.86%) and education (12.44%). </w:t>
      </w:r>
    </w:p>
    <w:p w14:paraId="1522E8E2" w14:textId="77777777" w:rsidR="00A30941" w:rsidRPr="00E73989" w:rsidRDefault="00A30941" w:rsidP="00A30941">
      <w:pPr>
        <w:spacing w:after="0"/>
        <w:rPr>
          <w:rFonts w:ascii="Helvetica" w:hAnsi="Helvetica" w:cs="Helvetica"/>
          <w:sz w:val="20"/>
          <w:szCs w:val="20"/>
        </w:rPr>
      </w:pPr>
    </w:p>
    <w:p w14:paraId="23C0AC96" w14:textId="2AE6ABB5" w:rsidR="00CD3AA4" w:rsidRPr="00CD3AA4" w:rsidRDefault="00CD3AA4" w:rsidP="00CD3AA4">
      <w:pPr>
        <w:pStyle w:val="Caption"/>
        <w:keepNext/>
        <w:spacing w:after="0"/>
        <w:rPr>
          <w:rFonts w:ascii="Helvetica" w:hAnsi="Helvetica" w:cs="Helvetica"/>
        </w:rPr>
      </w:pPr>
      <w:r w:rsidRPr="00CD3AA4">
        <w:rPr>
          <w:rFonts w:ascii="Helvetica" w:hAnsi="Helvetica" w:cs="Helvetica"/>
        </w:rPr>
        <w:t xml:space="preserve">Figure </w:t>
      </w:r>
      <w:r w:rsidRPr="00CD3AA4">
        <w:rPr>
          <w:rFonts w:ascii="Helvetica" w:hAnsi="Helvetica" w:cs="Helvetica"/>
        </w:rPr>
        <w:fldChar w:fldCharType="begin"/>
      </w:r>
      <w:r w:rsidRPr="00CD3AA4">
        <w:rPr>
          <w:rFonts w:ascii="Helvetica" w:hAnsi="Helvetica" w:cs="Helvetica"/>
        </w:rPr>
        <w:instrText xml:space="preserve"> SEQ Figure \* ARABIC </w:instrText>
      </w:r>
      <w:r w:rsidRPr="00CD3AA4">
        <w:rPr>
          <w:rFonts w:ascii="Helvetica" w:hAnsi="Helvetica" w:cs="Helvetica"/>
        </w:rPr>
        <w:fldChar w:fldCharType="separate"/>
      </w:r>
      <w:r w:rsidR="003B149F">
        <w:rPr>
          <w:rFonts w:ascii="Helvetica" w:hAnsi="Helvetica" w:cs="Helvetica"/>
          <w:noProof/>
        </w:rPr>
        <w:t>5</w:t>
      </w:r>
      <w:r w:rsidRPr="00CD3AA4">
        <w:rPr>
          <w:rFonts w:ascii="Helvetica" w:hAnsi="Helvetica" w:cs="Helvetica"/>
        </w:rPr>
        <w:fldChar w:fldCharType="end"/>
      </w:r>
      <w:r w:rsidRPr="00CD3AA4">
        <w:rPr>
          <w:rFonts w:ascii="Helvetica" w:hAnsi="Helvetica" w:cs="Helvetica"/>
        </w:rPr>
        <w:t>: Consumer expenditure per category: Ghana, 2020</w:t>
      </w:r>
    </w:p>
    <w:p w14:paraId="7768ABF3" w14:textId="1DDE9E8C" w:rsidR="00612AEE" w:rsidRPr="00E73989" w:rsidRDefault="00612AEE" w:rsidP="00CD3AA4">
      <w:pPr>
        <w:spacing w:after="0"/>
        <w:rPr>
          <w:rFonts w:ascii="Arial Narrow" w:hAnsi="Arial Narrow" w:cs="Helvetica"/>
          <w:i/>
          <w:sz w:val="18"/>
          <w:szCs w:val="18"/>
        </w:rPr>
      </w:pPr>
      <w:r w:rsidRPr="00E73989">
        <w:rPr>
          <w:noProof/>
        </w:rPr>
        <w:drawing>
          <wp:inline distT="0" distB="0" distL="0" distR="0" wp14:anchorId="38E13564" wp14:editId="32CA0D94">
            <wp:extent cx="6408420" cy="2552700"/>
            <wp:effectExtent l="0" t="0" r="11430" b="0"/>
            <wp:docPr id="21" name="Chart 21">
              <a:extLst xmlns:a="http://schemas.openxmlformats.org/drawingml/2006/main">
                <a:ext uri="{FF2B5EF4-FFF2-40B4-BE49-F238E27FC236}">
                  <a16:creationId xmlns:a16="http://schemas.microsoft.com/office/drawing/2014/main" id="{5DFF343E-2536-48AB-A87C-76C5EA276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73989">
        <w:rPr>
          <w:rFonts w:ascii="Arial Narrow" w:hAnsi="Arial Narrow" w:cs="Helvetica"/>
          <w:i/>
          <w:sz w:val="18"/>
          <w:szCs w:val="18"/>
        </w:rPr>
        <w:t xml:space="preserve"> </w:t>
      </w:r>
      <w:r w:rsidRPr="00CD3AA4">
        <w:rPr>
          <w:rFonts w:ascii="Helvetica" w:hAnsi="Helvetica" w:cs="Helvetica"/>
          <w:i/>
          <w:sz w:val="18"/>
          <w:szCs w:val="18"/>
        </w:rPr>
        <w:t>Sou</w:t>
      </w:r>
      <w:r w:rsidR="00CD3AA4" w:rsidRPr="00CD3AA4">
        <w:rPr>
          <w:rFonts w:ascii="Helvetica" w:hAnsi="Helvetica" w:cs="Helvetica"/>
          <w:i/>
          <w:sz w:val="18"/>
          <w:szCs w:val="18"/>
        </w:rPr>
        <w:t>rce: Euromonitor International (</w:t>
      </w:r>
      <w:r w:rsidRPr="00CD3AA4">
        <w:rPr>
          <w:rFonts w:ascii="Helvetica" w:hAnsi="Helvetica" w:cs="Helvetica"/>
          <w:i/>
          <w:sz w:val="18"/>
          <w:szCs w:val="18"/>
        </w:rPr>
        <w:t>2021</w:t>
      </w:r>
      <w:r w:rsidR="00CD3AA4" w:rsidRPr="00CD3AA4">
        <w:rPr>
          <w:rFonts w:ascii="Helvetica" w:hAnsi="Helvetica" w:cs="Helvetica"/>
          <w:i/>
          <w:sz w:val="18"/>
          <w:szCs w:val="18"/>
        </w:rPr>
        <w:t>)</w:t>
      </w:r>
      <w:r w:rsidRPr="00CD3AA4">
        <w:rPr>
          <w:rFonts w:ascii="Helvetica" w:hAnsi="Helvetica" w:cs="Helvetica"/>
          <w:i/>
          <w:sz w:val="18"/>
          <w:szCs w:val="18"/>
        </w:rPr>
        <w:t xml:space="preserve"> </w:t>
      </w:r>
      <w:r w:rsidR="00CD3AA4" w:rsidRPr="00CD3AA4">
        <w:rPr>
          <w:rFonts w:ascii="Helvetica" w:hAnsi="Helvetica" w:cs="Helvetica"/>
          <w:i/>
          <w:sz w:val="18"/>
          <w:szCs w:val="18"/>
        </w:rPr>
        <w:t>[values at current prices*]</w:t>
      </w:r>
    </w:p>
    <w:p w14:paraId="05998B22" w14:textId="6DFF30EE" w:rsidR="00612AEE" w:rsidRDefault="00612AEE" w:rsidP="00CD3AA4">
      <w:pPr>
        <w:spacing w:after="0"/>
        <w:jc w:val="both"/>
        <w:rPr>
          <w:rFonts w:ascii="Arial Narrow" w:hAnsi="Arial Narrow" w:cs="Helvetica"/>
          <w:b/>
          <w:bCs/>
          <w:sz w:val="20"/>
          <w:szCs w:val="20"/>
        </w:rPr>
      </w:pPr>
    </w:p>
    <w:p w14:paraId="72051497" w14:textId="32E07FF9" w:rsidR="00CD3AA4" w:rsidRDefault="00CD3AA4" w:rsidP="00CD3AA4">
      <w:pPr>
        <w:spacing w:after="0"/>
        <w:jc w:val="both"/>
        <w:rPr>
          <w:rFonts w:ascii="Arial Narrow" w:hAnsi="Arial Narrow" w:cs="Helvetica"/>
          <w:b/>
          <w:bCs/>
          <w:sz w:val="20"/>
          <w:szCs w:val="20"/>
        </w:rPr>
      </w:pPr>
    </w:p>
    <w:p w14:paraId="699A30D2" w14:textId="77777777" w:rsidR="00CD3AA4" w:rsidRPr="00E73989" w:rsidRDefault="00CD3AA4" w:rsidP="00CD3AA4">
      <w:pPr>
        <w:spacing w:after="0"/>
        <w:jc w:val="both"/>
        <w:rPr>
          <w:rFonts w:ascii="Arial Narrow" w:hAnsi="Arial Narrow" w:cs="Helvetica"/>
          <w:b/>
          <w:bCs/>
          <w:sz w:val="20"/>
          <w:szCs w:val="20"/>
        </w:rPr>
      </w:pPr>
    </w:p>
    <w:p w14:paraId="6E7B4295" w14:textId="77777777" w:rsidR="00612AEE" w:rsidRPr="00E73989" w:rsidRDefault="00612AEE" w:rsidP="00CD3AA4">
      <w:pPr>
        <w:spacing w:after="0"/>
        <w:jc w:val="both"/>
        <w:rPr>
          <w:rFonts w:ascii="Helvetica" w:hAnsi="Helvetica" w:cs="Helvetica"/>
          <w:b/>
          <w:bCs/>
          <w:sz w:val="20"/>
          <w:szCs w:val="20"/>
        </w:rPr>
      </w:pPr>
      <w:r w:rsidRPr="00E73989">
        <w:rPr>
          <w:rFonts w:ascii="Helvetica" w:hAnsi="Helvetica" w:cs="Helvetica"/>
          <w:b/>
          <w:bCs/>
          <w:sz w:val="20"/>
          <w:szCs w:val="20"/>
        </w:rPr>
        <w:lastRenderedPageBreak/>
        <w:t>Consumer trends in Ghana</w:t>
      </w:r>
    </w:p>
    <w:p w14:paraId="09B646EB" w14:textId="77777777" w:rsidR="00612AEE" w:rsidRPr="00E73989" w:rsidRDefault="00612AEE" w:rsidP="00612AEE">
      <w:pPr>
        <w:pStyle w:val="ListParagraph"/>
        <w:numPr>
          <w:ilvl w:val="0"/>
          <w:numId w:val="17"/>
        </w:numPr>
        <w:jc w:val="both"/>
        <w:rPr>
          <w:rFonts w:ascii="Helvetica" w:hAnsi="Helvetica" w:cs="Helvetica"/>
          <w:sz w:val="20"/>
          <w:szCs w:val="20"/>
        </w:rPr>
      </w:pPr>
      <w:r w:rsidRPr="00E73989">
        <w:rPr>
          <w:rFonts w:ascii="Helvetica" w:hAnsi="Helvetica" w:cs="Helvetica"/>
          <w:sz w:val="20"/>
          <w:szCs w:val="20"/>
        </w:rPr>
        <w:t>Per capita gross income in Ghana is forecast to increase by 35.1% in real terms over 2021-2040</w:t>
      </w:r>
    </w:p>
    <w:p w14:paraId="30CB515B" w14:textId="77777777" w:rsidR="00612AEE" w:rsidRPr="00E73989" w:rsidRDefault="00612AEE" w:rsidP="00612AEE">
      <w:pPr>
        <w:pStyle w:val="ListParagraph"/>
        <w:numPr>
          <w:ilvl w:val="0"/>
          <w:numId w:val="17"/>
        </w:numPr>
        <w:jc w:val="both"/>
        <w:rPr>
          <w:rFonts w:ascii="Helvetica" w:hAnsi="Helvetica" w:cs="Helvetica"/>
          <w:sz w:val="20"/>
          <w:szCs w:val="20"/>
        </w:rPr>
      </w:pPr>
      <w:r w:rsidRPr="00E73989">
        <w:rPr>
          <w:rFonts w:ascii="Helvetica" w:hAnsi="Helvetica" w:cs="Helvetica"/>
          <w:sz w:val="20"/>
          <w:szCs w:val="20"/>
        </w:rPr>
        <w:t>Later-Lifers are projected to remain predominant in the top-income band by 2040, shaping luxury spending patterns in Ghana</w:t>
      </w:r>
    </w:p>
    <w:p w14:paraId="02FCDB71" w14:textId="77777777" w:rsidR="00612AEE" w:rsidRPr="00E73989" w:rsidRDefault="00612AEE" w:rsidP="00612AEE">
      <w:pPr>
        <w:pStyle w:val="ListParagraph"/>
        <w:numPr>
          <w:ilvl w:val="0"/>
          <w:numId w:val="17"/>
        </w:numPr>
        <w:jc w:val="both"/>
        <w:rPr>
          <w:rFonts w:ascii="Helvetica" w:hAnsi="Helvetica" w:cs="Helvetica"/>
          <w:sz w:val="20"/>
          <w:szCs w:val="20"/>
        </w:rPr>
      </w:pPr>
      <w:r w:rsidRPr="00E73989">
        <w:rPr>
          <w:rFonts w:ascii="Helvetica" w:hAnsi="Helvetica" w:cs="Helvetica"/>
          <w:sz w:val="20"/>
          <w:szCs w:val="20"/>
        </w:rPr>
        <w:t>income inequality is estimated to increase over the long term and remain extremely high by global standards, as the pandemic exacerbated the issue further</w:t>
      </w:r>
    </w:p>
    <w:p w14:paraId="397B2730" w14:textId="77777777" w:rsidR="00612AEE" w:rsidRPr="00E73989" w:rsidRDefault="00612AEE" w:rsidP="00612AEE">
      <w:pPr>
        <w:pStyle w:val="ListParagraph"/>
        <w:numPr>
          <w:ilvl w:val="0"/>
          <w:numId w:val="17"/>
        </w:numPr>
        <w:jc w:val="both"/>
        <w:rPr>
          <w:rFonts w:ascii="Helvetica" w:hAnsi="Helvetica" w:cs="Helvetica"/>
          <w:sz w:val="20"/>
          <w:szCs w:val="20"/>
        </w:rPr>
      </w:pPr>
      <w:r w:rsidRPr="00E73989">
        <w:rPr>
          <w:rFonts w:ascii="Helvetica" w:hAnsi="Helvetica" w:cs="Helvetica"/>
          <w:sz w:val="20"/>
          <w:szCs w:val="20"/>
        </w:rPr>
        <w:t>Social class E is set to be the fastest growing social class and remain the prevalent social class through to 2040</w:t>
      </w:r>
    </w:p>
    <w:p w14:paraId="449B2B90" w14:textId="77777777" w:rsidR="00612AEE" w:rsidRPr="00E73989" w:rsidRDefault="00612AEE" w:rsidP="00612AEE">
      <w:pPr>
        <w:pStyle w:val="ListParagraph"/>
        <w:numPr>
          <w:ilvl w:val="0"/>
          <w:numId w:val="17"/>
        </w:numPr>
        <w:jc w:val="both"/>
        <w:rPr>
          <w:rFonts w:ascii="Helvetica" w:hAnsi="Helvetica" w:cs="Helvetica"/>
          <w:sz w:val="20"/>
          <w:szCs w:val="20"/>
        </w:rPr>
      </w:pPr>
      <w:r w:rsidRPr="00E73989">
        <w:rPr>
          <w:rFonts w:ascii="Helvetica" w:hAnsi="Helvetica" w:cs="Helvetica"/>
          <w:sz w:val="20"/>
          <w:szCs w:val="20"/>
        </w:rPr>
        <w:t>The Greater Accra region is anticipated to remain the largest consumer market in Ghana by 2040, accounting for 27.9% of total consumer expenditure</w:t>
      </w:r>
    </w:p>
    <w:p w14:paraId="0FE31CF7" w14:textId="77777777" w:rsidR="00612AEE" w:rsidRPr="00E73989" w:rsidRDefault="00612AEE" w:rsidP="00612AEE">
      <w:pPr>
        <w:pStyle w:val="ListParagraph"/>
        <w:numPr>
          <w:ilvl w:val="0"/>
          <w:numId w:val="17"/>
        </w:numPr>
        <w:jc w:val="both"/>
        <w:rPr>
          <w:rFonts w:ascii="Helvetica" w:hAnsi="Helvetica" w:cs="Helvetica"/>
          <w:sz w:val="20"/>
          <w:szCs w:val="20"/>
        </w:rPr>
      </w:pPr>
      <w:r w:rsidRPr="00E73989">
        <w:rPr>
          <w:rFonts w:ascii="Helvetica" w:hAnsi="Helvetica" w:cs="Helvetica"/>
          <w:sz w:val="20"/>
          <w:szCs w:val="20"/>
        </w:rPr>
        <w:t>Food and non-alcoholic beverages is forecast to be the largest consumer spending category in 2040, while transport will record the fastest growth over 2021-2040</w:t>
      </w:r>
    </w:p>
    <w:p w14:paraId="16DAE78E" w14:textId="77777777" w:rsidR="00612AEE" w:rsidRPr="00E73989" w:rsidRDefault="00612AEE" w:rsidP="00612AEE">
      <w:pPr>
        <w:jc w:val="both"/>
        <w:rPr>
          <w:rFonts w:ascii="Helvetica" w:hAnsi="Helvetica" w:cs="Helvetica"/>
          <w:b/>
          <w:bCs/>
          <w:sz w:val="20"/>
          <w:szCs w:val="20"/>
        </w:rPr>
      </w:pPr>
      <w:r w:rsidRPr="00E73989">
        <w:rPr>
          <w:rFonts w:ascii="Helvetica" w:hAnsi="Helvetica" w:cs="Helvetica"/>
          <w:b/>
          <w:bCs/>
          <w:sz w:val="20"/>
          <w:szCs w:val="20"/>
        </w:rPr>
        <w:t>Prospects</w:t>
      </w:r>
    </w:p>
    <w:p w14:paraId="66F1F26C" w14:textId="77777777" w:rsidR="00612AEE" w:rsidRPr="00E73989" w:rsidRDefault="00612AEE" w:rsidP="00CD3AA4">
      <w:pPr>
        <w:spacing w:after="0"/>
        <w:jc w:val="both"/>
        <w:rPr>
          <w:rFonts w:ascii="Helvetica" w:hAnsi="Helvetica" w:cs="Helvetica"/>
          <w:b/>
          <w:bCs/>
          <w:i/>
          <w:iCs/>
          <w:sz w:val="20"/>
          <w:szCs w:val="20"/>
        </w:rPr>
      </w:pPr>
      <w:r w:rsidRPr="00E73989">
        <w:rPr>
          <w:rFonts w:ascii="Helvetica" w:hAnsi="Helvetica" w:cs="Helvetica"/>
          <w:b/>
          <w:bCs/>
          <w:i/>
          <w:iCs/>
          <w:sz w:val="20"/>
          <w:szCs w:val="20"/>
        </w:rPr>
        <w:t>Large-scale fiscal stimulus to aid economic recovery from the pandemic</w:t>
      </w:r>
    </w:p>
    <w:p w14:paraId="6AEE1025" w14:textId="77777777" w:rsidR="00612AEE" w:rsidRPr="00E73989" w:rsidRDefault="00612AEE" w:rsidP="00612AEE">
      <w:pPr>
        <w:pStyle w:val="ListParagraph"/>
        <w:numPr>
          <w:ilvl w:val="0"/>
          <w:numId w:val="18"/>
        </w:numPr>
        <w:spacing w:after="160" w:line="259" w:lineRule="auto"/>
        <w:jc w:val="both"/>
        <w:rPr>
          <w:rFonts w:ascii="Helvetica" w:hAnsi="Helvetica" w:cs="Helvetica"/>
          <w:sz w:val="20"/>
          <w:szCs w:val="20"/>
        </w:rPr>
      </w:pPr>
      <w:r w:rsidRPr="00E73989">
        <w:rPr>
          <w:rFonts w:ascii="Helvetica" w:hAnsi="Helvetica" w:cs="Helvetica"/>
          <w:sz w:val="20"/>
          <w:szCs w:val="20"/>
        </w:rPr>
        <w:t xml:space="preserve">Per capita gross income in Ghana is projected to increase by one third in real terms over 2021-2040, remaining below the pre-pandemic levels of 2019. </w:t>
      </w:r>
    </w:p>
    <w:p w14:paraId="49EE3F65" w14:textId="77777777" w:rsidR="00612AEE" w:rsidRPr="00E73989" w:rsidRDefault="00612AEE" w:rsidP="00612AEE">
      <w:pPr>
        <w:pStyle w:val="ListParagraph"/>
        <w:numPr>
          <w:ilvl w:val="0"/>
          <w:numId w:val="18"/>
        </w:numPr>
        <w:spacing w:after="160" w:line="259" w:lineRule="auto"/>
        <w:jc w:val="both"/>
        <w:rPr>
          <w:rFonts w:ascii="Helvetica" w:hAnsi="Helvetica" w:cs="Helvetica"/>
          <w:sz w:val="20"/>
          <w:szCs w:val="20"/>
        </w:rPr>
      </w:pPr>
      <w:r w:rsidRPr="00E73989">
        <w:rPr>
          <w:rFonts w:ascii="Helvetica" w:hAnsi="Helvetica" w:cs="Helvetica"/>
          <w:sz w:val="20"/>
          <w:szCs w:val="20"/>
        </w:rPr>
        <w:t>The pandemic has had a severe impact on economic activity, causing a rise in unemployment and poverty rates. As a response measure, the government has dedicated USD16.5 billion to Ghana's CARES Obaatanpa programme, aiming to provide fiscal stimulus to drive growth and economic transformation by implementing major interventions such as free water and electricity, as well as increased pay for front-line workers.</w:t>
      </w:r>
    </w:p>
    <w:p w14:paraId="5402EB85" w14:textId="77777777" w:rsidR="00612AEE" w:rsidRPr="00E73989" w:rsidRDefault="00612AEE" w:rsidP="00612AEE">
      <w:pPr>
        <w:pStyle w:val="ListParagraph"/>
        <w:numPr>
          <w:ilvl w:val="0"/>
          <w:numId w:val="18"/>
        </w:numPr>
        <w:spacing w:after="160" w:line="259" w:lineRule="auto"/>
        <w:jc w:val="both"/>
        <w:rPr>
          <w:rFonts w:ascii="Helvetica" w:hAnsi="Helvetica" w:cs="Helvetica"/>
          <w:sz w:val="20"/>
          <w:szCs w:val="20"/>
        </w:rPr>
      </w:pPr>
      <w:r w:rsidRPr="00E73989">
        <w:rPr>
          <w:rFonts w:ascii="Helvetica" w:hAnsi="Helvetica" w:cs="Helvetica"/>
          <w:sz w:val="20"/>
          <w:szCs w:val="20"/>
        </w:rPr>
        <w:t xml:space="preserve">As the older consumers in the country represent an expanding segment, Ghanaians aged 65+ are set to dominate among the top-income band (those with an annual gross income over USD250,001) illustrating that the global trend of the rising importance of silver consumers is followed in Ghana. This age group is expected to generate opportunities for businesses focusing on premium goods and healthcare services. </w:t>
      </w:r>
    </w:p>
    <w:p w14:paraId="0F122164" w14:textId="77777777" w:rsidR="00612AEE" w:rsidRPr="00E73989" w:rsidRDefault="00612AEE" w:rsidP="00612AEE">
      <w:pPr>
        <w:pStyle w:val="ListParagraph"/>
        <w:numPr>
          <w:ilvl w:val="0"/>
          <w:numId w:val="18"/>
        </w:numPr>
        <w:spacing w:after="160" w:line="259" w:lineRule="auto"/>
        <w:jc w:val="both"/>
        <w:rPr>
          <w:rFonts w:ascii="Helvetica" w:hAnsi="Helvetica" w:cs="Helvetica"/>
          <w:sz w:val="20"/>
          <w:szCs w:val="20"/>
        </w:rPr>
      </w:pPr>
      <w:r w:rsidRPr="00E73989">
        <w:rPr>
          <w:rFonts w:ascii="Helvetica" w:hAnsi="Helvetica" w:cs="Helvetica"/>
          <w:sz w:val="20"/>
          <w:szCs w:val="20"/>
        </w:rPr>
        <w:t xml:space="preserve">Present-day millennials are set to earn the highest per capita income by 2040, shaping Ghana’s consumer spending patterns. </w:t>
      </w:r>
    </w:p>
    <w:p w14:paraId="4597A529" w14:textId="77777777" w:rsidR="00612AEE" w:rsidRPr="00E73989" w:rsidRDefault="00612AEE" w:rsidP="00612AEE">
      <w:pPr>
        <w:pStyle w:val="ListParagraph"/>
        <w:numPr>
          <w:ilvl w:val="0"/>
          <w:numId w:val="18"/>
        </w:numPr>
        <w:spacing w:after="160" w:line="259" w:lineRule="auto"/>
        <w:jc w:val="both"/>
        <w:rPr>
          <w:rFonts w:ascii="Helvetica" w:hAnsi="Helvetica" w:cs="Helvetica"/>
          <w:sz w:val="20"/>
          <w:szCs w:val="20"/>
        </w:rPr>
      </w:pPr>
      <w:r w:rsidRPr="00E73989">
        <w:rPr>
          <w:rFonts w:ascii="Helvetica" w:hAnsi="Helvetica" w:cs="Helvetica"/>
          <w:sz w:val="20"/>
          <w:szCs w:val="20"/>
        </w:rPr>
        <w:t>In 2020, internet users represented only a half of the total Ghanaian population however is set to reach 95% by 2040, therefore the rising importance of tech-savvy millennials offers expansion opportunities for telecom operators, which plan to provide a considerable boost to the Ghanaian information and communications technology (ICT) sector.</w:t>
      </w:r>
    </w:p>
    <w:p w14:paraId="65A7F9B2" w14:textId="77777777" w:rsidR="00612AEE" w:rsidRPr="00E73989" w:rsidRDefault="00612AEE" w:rsidP="00CD3AA4">
      <w:pPr>
        <w:spacing w:after="0"/>
        <w:jc w:val="both"/>
        <w:rPr>
          <w:rFonts w:ascii="Helvetica" w:hAnsi="Helvetica" w:cs="Helvetica"/>
          <w:b/>
          <w:bCs/>
          <w:i/>
          <w:iCs/>
          <w:sz w:val="20"/>
          <w:szCs w:val="20"/>
        </w:rPr>
      </w:pPr>
      <w:r w:rsidRPr="00E73989">
        <w:rPr>
          <w:rFonts w:ascii="Helvetica" w:hAnsi="Helvetica" w:cs="Helvetica"/>
          <w:b/>
          <w:bCs/>
          <w:i/>
          <w:iCs/>
          <w:sz w:val="20"/>
          <w:szCs w:val="20"/>
        </w:rPr>
        <w:t>Income inequality is set to increase, as the lockdown constrained access to education</w:t>
      </w:r>
    </w:p>
    <w:p w14:paraId="78231FC4" w14:textId="77777777" w:rsidR="00612AEE" w:rsidRPr="00E73989" w:rsidRDefault="00612AEE" w:rsidP="00612AEE">
      <w:pPr>
        <w:pStyle w:val="ListParagraph"/>
        <w:numPr>
          <w:ilvl w:val="0"/>
          <w:numId w:val="19"/>
        </w:numPr>
        <w:spacing w:after="160" w:line="259" w:lineRule="auto"/>
        <w:jc w:val="both"/>
        <w:rPr>
          <w:rFonts w:ascii="Helvetica" w:hAnsi="Helvetica" w:cs="Helvetica"/>
          <w:sz w:val="20"/>
          <w:szCs w:val="20"/>
        </w:rPr>
      </w:pPr>
      <w:r w:rsidRPr="00E73989">
        <w:rPr>
          <w:rFonts w:ascii="Helvetica" w:hAnsi="Helvetica" w:cs="Helvetica"/>
          <w:sz w:val="20"/>
          <w:szCs w:val="20"/>
        </w:rPr>
        <w:t xml:space="preserve">Although Ghana is classified as a middle-income country by the World Bank since 2018, social class E (the lowest income class) remained prevalent in the country in 2020 and is set to witness the highest rate of expansion over 2021-2040. </w:t>
      </w:r>
    </w:p>
    <w:p w14:paraId="768696F0" w14:textId="77777777" w:rsidR="00612AEE" w:rsidRPr="00E73989" w:rsidRDefault="00612AEE" w:rsidP="00612AEE">
      <w:pPr>
        <w:pStyle w:val="ListParagraph"/>
        <w:numPr>
          <w:ilvl w:val="0"/>
          <w:numId w:val="19"/>
        </w:numPr>
        <w:spacing w:after="160" w:line="259" w:lineRule="auto"/>
        <w:jc w:val="both"/>
        <w:rPr>
          <w:rFonts w:ascii="Helvetica" w:hAnsi="Helvetica" w:cs="Helvetica"/>
          <w:sz w:val="20"/>
          <w:szCs w:val="20"/>
        </w:rPr>
      </w:pPr>
      <w:r w:rsidRPr="00E73989">
        <w:rPr>
          <w:rFonts w:ascii="Helvetica" w:hAnsi="Helvetica" w:cs="Helvetica"/>
          <w:sz w:val="20"/>
          <w:szCs w:val="20"/>
        </w:rPr>
        <w:t>At the same time, social class A, the highest income class, is projected to witness the second fastest growth rate across social classes through 2040. This indicates that Ghana’s extremely high-income inequality is anticipated to continuously grow over the 2021-2040 period.</w:t>
      </w:r>
    </w:p>
    <w:p w14:paraId="24597564" w14:textId="77777777" w:rsidR="00612AEE" w:rsidRPr="00E73989" w:rsidRDefault="00612AEE" w:rsidP="00612AEE">
      <w:pPr>
        <w:pStyle w:val="ListParagraph"/>
        <w:numPr>
          <w:ilvl w:val="0"/>
          <w:numId w:val="19"/>
        </w:numPr>
        <w:spacing w:after="160" w:line="259" w:lineRule="auto"/>
        <w:jc w:val="both"/>
        <w:rPr>
          <w:rFonts w:ascii="Helvetica" w:hAnsi="Helvetica" w:cs="Helvetica"/>
          <w:sz w:val="20"/>
          <w:szCs w:val="20"/>
        </w:rPr>
      </w:pPr>
      <w:r w:rsidRPr="00E73989">
        <w:rPr>
          <w:rFonts w:ascii="Helvetica" w:hAnsi="Helvetica" w:cs="Helvetica"/>
          <w:sz w:val="20"/>
          <w:szCs w:val="20"/>
        </w:rPr>
        <w:t xml:space="preserve">Nearly one third of Ghana’s population lived below the international poverty line of USD3.1 per day in 2020. This results from a rapidly expanding population, significant underinvestment in infrastructure, limited access to education, and regional disparities. </w:t>
      </w:r>
    </w:p>
    <w:p w14:paraId="16F94F14" w14:textId="77777777" w:rsidR="00612AEE" w:rsidRPr="00E73989" w:rsidRDefault="00612AEE" w:rsidP="00612AEE">
      <w:pPr>
        <w:pStyle w:val="ListParagraph"/>
        <w:numPr>
          <w:ilvl w:val="0"/>
          <w:numId w:val="19"/>
        </w:numPr>
        <w:spacing w:after="160" w:line="259" w:lineRule="auto"/>
        <w:jc w:val="both"/>
        <w:rPr>
          <w:rFonts w:ascii="Helvetica" w:hAnsi="Helvetica" w:cs="Helvetica"/>
          <w:sz w:val="20"/>
          <w:szCs w:val="20"/>
        </w:rPr>
      </w:pPr>
      <w:r w:rsidRPr="00E73989">
        <w:rPr>
          <w:rFonts w:ascii="Helvetica" w:hAnsi="Helvetica" w:cs="Helvetica"/>
          <w:sz w:val="20"/>
          <w:szCs w:val="20"/>
        </w:rPr>
        <w:t xml:space="preserve">The COVID-19 pandemic has hit disproportionately more disadvantaged groups in Ghana, further widening the gap between the social classes and increasing income inequality. A survey by UNICEF in 2021 has concluded that online teaching was not sufficient for children from the most vulnerable households in Ghana due to internet connectivity being mainly available only to urban, employed, and literate Ghanaian families. </w:t>
      </w:r>
    </w:p>
    <w:p w14:paraId="755B6C42" w14:textId="77777777" w:rsidR="00612AEE" w:rsidRPr="00E73989" w:rsidRDefault="00612AEE" w:rsidP="00CD3AA4">
      <w:pPr>
        <w:spacing w:after="0"/>
        <w:jc w:val="both"/>
        <w:rPr>
          <w:rFonts w:ascii="Helvetica" w:hAnsi="Helvetica" w:cs="Helvetica"/>
          <w:sz w:val="20"/>
          <w:szCs w:val="20"/>
        </w:rPr>
      </w:pPr>
      <w:r w:rsidRPr="00E73989">
        <w:rPr>
          <w:rFonts w:ascii="Helvetica" w:hAnsi="Helvetica" w:cs="Helvetica"/>
          <w:b/>
          <w:bCs/>
          <w:i/>
          <w:iCs/>
          <w:sz w:val="20"/>
          <w:szCs w:val="20"/>
        </w:rPr>
        <w:t xml:space="preserve">Trade and mobility in Accra to be more efficient due to improvements in transport infrastructure </w:t>
      </w:r>
    </w:p>
    <w:p w14:paraId="4F551071" w14:textId="77777777" w:rsidR="00612AEE" w:rsidRPr="00E73989" w:rsidRDefault="00612AEE" w:rsidP="00612AEE">
      <w:pPr>
        <w:pStyle w:val="ListParagraph"/>
        <w:numPr>
          <w:ilvl w:val="0"/>
          <w:numId w:val="20"/>
        </w:numPr>
        <w:spacing w:after="160" w:line="259" w:lineRule="auto"/>
        <w:jc w:val="both"/>
        <w:rPr>
          <w:rFonts w:ascii="Helvetica" w:hAnsi="Helvetica" w:cs="Helvetica"/>
          <w:sz w:val="20"/>
          <w:szCs w:val="20"/>
        </w:rPr>
      </w:pPr>
      <w:r w:rsidRPr="00E73989">
        <w:rPr>
          <w:rFonts w:ascii="Helvetica" w:hAnsi="Helvetica" w:cs="Helvetica"/>
          <w:sz w:val="20"/>
          <w:szCs w:val="20"/>
        </w:rPr>
        <w:t xml:space="preserve">The Greater Accra region, which includes the capital Accra, was the largest consumer market in 2020, accounting for over a quarter of the country’s total consumer spending and is expected to witness the fastest rate of expansion through to 2040. </w:t>
      </w:r>
    </w:p>
    <w:p w14:paraId="0D64B19F" w14:textId="77777777" w:rsidR="00612AEE" w:rsidRPr="00E73989" w:rsidRDefault="00612AEE" w:rsidP="00612AEE">
      <w:pPr>
        <w:pStyle w:val="ListParagraph"/>
        <w:numPr>
          <w:ilvl w:val="0"/>
          <w:numId w:val="20"/>
        </w:numPr>
        <w:spacing w:after="160" w:line="259" w:lineRule="auto"/>
        <w:jc w:val="both"/>
        <w:rPr>
          <w:rFonts w:ascii="Helvetica" w:hAnsi="Helvetica" w:cs="Helvetica"/>
          <w:sz w:val="20"/>
          <w:szCs w:val="20"/>
        </w:rPr>
      </w:pPr>
      <w:r w:rsidRPr="00E73989">
        <w:rPr>
          <w:rFonts w:ascii="Helvetica" w:hAnsi="Helvetica" w:cs="Helvetica"/>
          <w:sz w:val="20"/>
          <w:szCs w:val="20"/>
        </w:rPr>
        <w:lastRenderedPageBreak/>
        <w:t xml:space="preserve">The rapid development of the region was mainly driven by growing inflows of foreign direct investment (FDI) and a well-developed maritime sector. </w:t>
      </w:r>
    </w:p>
    <w:p w14:paraId="6AFEC9D2" w14:textId="77777777" w:rsidR="00612AEE" w:rsidRPr="00E73989" w:rsidRDefault="00612AEE" w:rsidP="00612AEE">
      <w:pPr>
        <w:pStyle w:val="ListParagraph"/>
        <w:numPr>
          <w:ilvl w:val="0"/>
          <w:numId w:val="20"/>
        </w:numPr>
        <w:spacing w:after="160" w:line="259" w:lineRule="auto"/>
        <w:jc w:val="both"/>
        <w:rPr>
          <w:rFonts w:ascii="Helvetica" w:hAnsi="Helvetica" w:cs="Helvetica"/>
          <w:sz w:val="20"/>
          <w:szCs w:val="20"/>
        </w:rPr>
      </w:pPr>
      <w:r w:rsidRPr="00E73989">
        <w:rPr>
          <w:rFonts w:ascii="Helvetica" w:hAnsi="Helvetica" w:cs="Helvetica"/>
          <w:sz w:val="20"/>
          <w:szCs w:val="20"/>
        </w:rPr>
        <w:t xml:space="preserve">Due to better employment opportunities and higher standards of living, many people decide to leave homes in rural areas and move to Greater Accra. However, rapid urbanisation in Ghana causes various challenges, including poor road safety records and insufficient transport infrastructure. To mitigate the issues, Accra's government is improving the city's road infrastructure. </w:t>
      </w:r>
    </w:p>
    <w:p w14:paraId="4B916BCF" w14:textId="77777777" w:rsidR="00612AEE" w:rsidRPr="00E73989" w:rsidRDefault="00612AEE" w:rsidP="00612AEE">
      <w:pPr>
        <w:pStyle w:val="ListParagraph"/>
        <w:numPr>
          <w:ilvl w:val="0"/>
          <w:numId w:val="20"/>
        </w:numPr>
        <w:spacing w:after="160" w:line="259" w:lineRule="auto"/>
        <w:jc w:val="both"/>
        <w:rPr>
          <w:rFonts w:ascii="Helvetica" w:hAnsi="Helvetica" w:cs="Helvetica"/>
          <w:sz w:val="20"/>
          <w:szCs w:val="20"/>
        </w:rPr>
      </w:pPr>
      <w:r w:rsidRPr="00E73989">
        <w:rPr>
          <w:rFonts w:ascii="Helvetica" w:hAnsi="Helvetica" w:cs="Helvetica"/>
          <w:sz w:val="20"/>
          <w:szCs w:val="20"/>
        </w:rPr>
        <w:t xml:space="preserve">In 2020, food and non-alcoholic beverages was the largest spending category in Ghana and is set to account for the largest share of consumer expenditure by 2040. </w:t>
      </w:r>
    </w:p>
    <w:p w14:paraId="24E1BB0B" w14:textId="77777777" w:rsidR="00612AEE" w:rsidRPr="00E73989" w:rsidRDefault="00612AEE" w:rsidP="00612AEE">
      <w:pPr>
        <w:pStyle w:val="ListParagraph"/>
        <w:numPr>
          <w:ilvl w:val="0"/>
          <w:numId w:val="20"/>
        </w:numPr>
        <w:spacing w:after="160" w:line="259" w:lineRule="auto"/>
        <w:jc w:val="both"/>
        <w:rPr>
          <w:rFonts w:ascii="Helvetica" w:hAnsi="Helvetica" w:cs="Helvetica"/>
          <w:sz w:val="20"/>
          <w:szCs w:val="20"/>
        </w:rPr>
      </w:pPr>
      <w:r w:rsidRPr="00E73989">
        <w:rPr>
          <w:rFonts w:ascii="Helvetica" w:hAnsi="Helvetica" w:cs="Helvetica"/>
          <w:sz w:val="20"/>
          <w:szCs w:val="20"/>
        </w:rPr>
        <w:t>Discretionary spending power in Ghana is set to slightly expand over the long term, representing 37.8% of total consumer spending in 2040, compared to 40.9% in other regional countries. Increasing discretionary spending potential is induced by rising expenditure on transport, which is anticipated to grow at the fastest pace over 2021-2040 among all expenditure categories.</w:t>
      </w:r>
    </w:p>
    <w:p w14:paraId="02D15C7B" w14:textId="77777777" w:rsidR="00612AEE" w:rsidRPr="00E73989" w:rsidRDefault="00612AEE" w:rsidP="00612AEE">
      <w:pPr>
        <w:pStyle w:val="ListParagraph"/>
        <w:numPr>
          <w:ilvl w:val="0"/>
          <w:numId w:val="20"/>
        </w:numPr>
        <w:spacing w:after="160" w:line="259" w:lineRule="auto"/>
        <w:jc w:val="both"/>
        <w:rPr>
          <w:rFonts w:ascii="Helvetica" w:hAnsi="Helvetica" w:cs="Helvetica"/>
          <w:sz w:val="20"/>
          <w:szCs w:val="20"/>
        </w:rPr>
      </w:pPr>
      <w:r w:rsidRPr="00E73989">
        <w:rPr>
          <w:rFonts w:ascii="Helvetica" w:hAnsi="Helvetica" w:cs="Helvetica"/>
          <w:sz w:val="20"/>
          <w:szCs w:val="20"/>
        </w:rPr>
        <w:t>Elevated expenditure on transport in Ghana is partly due to increasing fuel prices, resulting in rising vehicle operation costs. Even though Ghana’s Private Roads and Transport Union has increased road transport fares by 13% in 2021, a number of private transport companies have announced an even higher acceleration in prices.</w:t>
      </w:r>
      <w:r w:rsidRPr="00E73989">
        <w:rPr>
          <w:rStyle w:val="FootnoteReference"/>
          <w:rFonts w:ascii="Helvetica" w:hAnsi="Helvetica" w:cs="Helvetica"/>
          <w:sz w:val="20"/>
          <w:szCs w:val="20"/>
        </w:rPr>
        <w:footnoteReference w:id="4"/>
      </w:r>
    </w:p>
    <w:p w14:paraId="3D34EB1B" w14:textId="0A843152" w:rsidR="00612AEE" w:rsidRPr="00E73989" w:rsidRDefault="00612AEE" w:rsidP="00612AEE">
      <w:pPr>
        <w:autoSpaceDE w:val="0"/>
        <w:autoSpaceDN w:val="0"/>
        <w:adjustRightInd w:val="0"/>
        <w:spacing w:after="0"/>
        <w:contextualSpacing/>
        <w:jc w:val="both"/>
        <w:outlineLvl w:val="1"/>
        <w:rPr>
          <w:rFonts w:ascii="Helvetica" w:hAnsi="Helvetica" w:cs="Helvetica"/>
          <w:sz w:val="20"/>
          <w:szCs w:val="20"/>
        </w:rPr>
      </w:pPr>
      <w:r w:rsidRPr="00E73989">
        <w:rPr>
          <w:rFonts w:ascii="Helvetica" w:hAnsi="Helvetica" w:cs="Helvetica"/>
          <w:sz w:val="20"/>
          <w:szCs w:val="20"/>
        </w:rPr>
        <w:br w:type="page"/>
      </w:r>
    </w:p>
    <w:p w14:paraId="322C404E" w14:textId="59E3A671" w:rsidR="00612AEE" w:rsidRPr="00E73989" w:rsidRDefault="002E30D4" w:rsidP="002E30D4">
      <w:pPr>
        <w:pStyle w:val="Heading1"/>
        <w:ind w:left="426" w:hanging="426"/>
      </w:pPr>
      <w:bookmarkStart w:id="9" w:name="_Toc85534922"/>
      <w:bookmarkStart w:id="10" w:name="_Toc87202383"/>
      <w:r w:rsidRPr="00E73989">
        <w:lastRenderedPageBreak/>
        <w:t>Trade</w:t>
      </w:r>
      <w:bookmarkEnd w:id="9"/>
      <w:bookmarkEnd w:id="10"/>
    </w:p>
    <w:p w14:paraId="0D752F05" w14:textId="77777777" w:rsidR="002E30D4" w:rsidRPr="00E73989" w:rsidRDefault="002E30D4" w:rsidP="002E30D4">
      <w:pPr>
        <w:spacing w:after="0"/>
        <w:rPr>
          <w:rFonts w:ascii="Helvetica" w:hAnsi="Helvetica" w:cs="Helvetica"/>
          <w:sz w:val="20"/>
          <w:szCs w:val="20"/>
        </w:rPr>
      </w:pPr>
    </w:p>
    <w:p w14:paraId="66ABB8F0" w14:textId="447629A5" w:rsidR="00612AEE" w:rsidRPr="00E73989" w:rsidRDefault="002E30D4" w:rsidP="002E30D4">
      <w:pPr>
        <w:pStyle w:val="Heading2"/>
        <w:numPr>
          <w:ilvl w:val="0"/>
          <w:numId w:val="0"/>
        </w:numPr>
        <w:tabs>
          <w:tab w:val="left" w:pos="426"/>
        </w:tabs>
        <w:rPr>
          <w:rFonts w:cs="Helvetica"/>
        </w:rPr>
      </w:pPr>
      <w:bookmarkStart w:id="11" w:name="_Toc85534925"/>
      <w:bookmarkStart w:id="12" w:name="_Toc87202384"/>
      <w:r w:rsidRPr="00E73989">
        <w:rPr>
          <w:rFonts w:cs="Helvetica"/>
        </w:rPr>
        <w:t>4.1</w:t>
      </w:r>
      <w:r w:rsidRPr="00E73989">
        <w:rPr>
          <w:rFonts w:cs="Helvetica"/>
        </w:rPr>
        <w:tab/>
        <w:t>Ghana’s trade in goods</w:t>
      </w:r>
      <w:bookmarkEnd w:id="11"/>
      <w:bookmarkEnd w:id="12"/>
    </w:p>
    <w:p w14:paraId="64E2CFC3" w14:textId="358E0CB3" w:rsidR="00612AEE" w:rsidRPr="00E73989" w:rsidRDefault="00EE085A" w:rsidP="002E30D4">
      <w:pPr>
        <w:spacing w:after="0"/>
        <w:jc w:val="both"/>
        <w:rPr>
          <w:rFonts w:ascii="Helvetica" w:hAnsi="Helvetica" w:cs="Helvetica"/>
          <w:sz w:val="20"/>
          <w:szCs w:val="20"/>
        </w:rPr>
      </w:pPr>
      <w:r>
        <w:rPr>
          <w:rFonts w:ascii="Helvetica" w:hAnsi="Helvetica" w:cs="Helvetica"/>
          <w:sz w:val="20"/>
          <w:szCs w:val="20"/>
        </w:rPr>
        <w:t>Figure 6</w:t>
      </w:r>
      <w:r w:rsidR="00612AEE" w:rsidRPr="00E73989">
        <w:rPr>
          <w:rFonts w:ascii="Helvetica" w:hAnsi="Helvetica" w:cs="Helvetica"/>
          <w:sz w:val="20"/>
          <w:szCs w:val="20"/>
        </w:rPr>
        <w:t xml:space="preserve"> below paints a picture of goods traded in Ghana over the last 10 years, from 2011 to 2020. Ghana maintained a trade deficit in goods traded for most of the period under review. Seemingly, following a U-shaped trend, Ghana recorded a trade surplus in goods traded of USD5.54 billion before subsequently deteriorating consistently to reach a trade deficit of USD0.71bn by 2016. Thereafter, the current account recovered and the trade surplus followed in an upward trajectory to reach a trade surplus of USD6.33 billion by 2019. However, Ghana was not spared from the woes felt around the world, as the Coviid-19 pandemic caused a worldwide shut down and economic downturn was the new reality. To this end, Ghana’s imports exceeded its exports, resulting in a trade deficit of USD3.45 billion in 2020. On the other hand, both import and export growth remained relatively low, albeit average annual growth in exports were vastly larger (22.89%) when compared to imports (9.9%). </w:t>
      </w:r>
    </w:p>
    <w:p w14:paraId="2C3F042A" w14:textId="77777777" w:rsidR="00612AEE" w:rsidRPr="00E73989" w:rsidRDefault="00612AEE" w:rsidP="00612AEE">
      <w:pPr>
        <w:spacing w:after="0"/>
        <w:rPr>
          <w:rFonts w:ascii="Helvetica" w:hAnsi="Helvetica" w:cs="Helvetica"/>
          <w:sz w:val="20"/>
          <w:szCs w:val="20"/>
        </w:rPr>
      </w:pPr>
    </w:p>
    <w:p w14:paraId="6AA708C5" w14:textId="06026C66" w:rsidR="00EE085A" w:rsidRPr="00EE085A" w:rsidRDefault="00EE085A" w:rsidP="00EE085A">
      <w:pPr>
        <w:pStyle w:val="Caption"/>
        <w:keepNext/>
        <w:spacing w:after="0"/>
        <w:rPr>
          <w:rFonts w:ascii="Helvetica" w:hAnsi="Helvetica" w:cs="Helvetica"/>
        </w:rPr>
      </w:pPr>
      <w:r w:rsidRPr="00EE085A">
        <w:rPr>
          <w:rFonts w:ascii="Helvetica" w:hAnsi="Helvetica" w:cs="Helvetica"/>
        </w:rPr>
        <w:t xml:space="preserve">Figure </w:t>
      </w:r>
      <w:r w:rsidRPr="00EE085A">
        <w:rPr>
          <w:rFonts w:ascii="Helvetica" w:hAnsi="Helvetica" w:cs="Helvetica"/>
        </w:rPr>
        <w:fldChar w:fldCharType="begin"/>
      </w:r>
      <w:r w:rsidRPr="00EE085A">
        <w:rPr>
          <w:rFonts w:ascii="Helvetica" w:hAnsi="Helvetica" w:cs="Helvetica"/>
        </w:rPr>
        <w:instrText xml:space="preserve"> SEQ Figure \* ARABIC </w:instrText>
      </w:r>
      <w:r w:rsidRPr="00EE085A">
        <w:rPr>
          <w:rFonts w:ascii="Helvetica" w:hAnsi="Helvetica" w:cs="Helvetica"/>
        </w:rPr>
        <w:fldChar w:fldCharType="separate"/>
      </w:r>
      <w:r w:rsidR="003B149F">
        <w:rPr>
          <w:rFonts w:ascii="Helvetica" w:hAnsi="Helvetica" w:cs="Helvetica"/>
          <w:noProof/>
        </w:rPr>
        <w:t>6</w:t>
      </w:r>
      <w:r w:rsidRPr="00EE085A">
        <w:rPr>
          <w:rFonts w:ascii="Helvetica" w:hAnsi="Helvetica" w:cs="Helvetica"/>
        </w:rPr>
        <w:fldChar w:fldCharType="end"/>
      </w:r>
      <w:r w:rsidRPr="00EE085A">
        <w:rPr>
          <w:rFonts w:ascii="Helvetica" w:hAnsi="Helvetica" w:cs="Helvetica"/>
        </w:rPr>
        <w:t>: Ghana’s global trade in goods, 2011 - 2020</w:t>
      </w:r>
    </w:p>
    <w:p w14:paraId="1450A014" w14:textId="77777777" w:rsidR="002E30D4" w:rsidRPr="00E73989" w:rsidRDefault="00612AEE" w:rsidP="002E30D4">
      <w:pPr>
        <w:tabs>
          <w:tab w:val="left" w:pos="3969"/>
          <w:tab w:val="left" w:pos="4111"/>
        </w:tabs>
        <w:spacing w:after="0"/>
        <w:ind w:left="-567"/>
        <w:jc w:val="right"/>
        <w:rPr>
          <w:rFonts w:ascii="Arial Narrow" w:hAnsi="Arial Narrow" w:cs="Helvetica"/>
          <w:i/>
          <w:sz w:val="18"/>
          <w:szCs w:val="18"/>
        </w:rPr>
      </w:pPr>
      <w:r w:rsidRPr="00E73989">
        <w:rPr>
          <w:noProof/>
        </w:rPr>
        <w:drawing>
          <wp:inline distT="0" distB="0" distL="0" distR="0" wp14:anchorId="0C77AEDA" wp14:editId="455ED166">
            <wp:extent cx="6098385" cy="2705100"/>
            <wp:effectExtent l="0" t="0" r="1714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0247D7" w14:textId="735C6E1B" w:rsidR="00612AEE" w:rsidRPr="00E73989" w:rsidRDefault="00EE085A" w:rsidP="002E30D4">
      <w:pPr>
        <w:tabs>
          <w:tab w:val="left" w:pos="3969"/>
          <w:tab w:val="left" w:pos="4111"/>
        </w:tabs>
        <w:spacing w:after="0"/>
        <w:rPr>
          <w:rFonts w:ascii="Helvetica" w:hAnsi="Helvetica" w:cs="Helvetica"/>
          <w:i/>
          <w:sz w:val="16"/>
          <w:szCs w:val="16"/>
        </w:rPr>
      </w:pPr>
      <w:r>
        <w:rPr>
          <w:rFonts w:ascii="Helvetica" w:hAnsi="Helvetica" w:cs="Helvetica"/>
          <w:i/>
          <w:sz w:val="16"/>
          <w:szCs w:val="16"/>
        </w:rPr>
        <w:t>Source: TradeMap (</w:t>
      </w:r>
      <w:r w:rsidR="00612AEE" w:rsidRPr="00E73989">
        <w:rPr>
          <w:rFonts w:ascii="Helvetica" w:hAnsi="Helvetica" w:cs="Helvetica"/>
          <w:i/>
          <w:sz w:val="16"/>
          <w:szCs w:val="16"/>
        </w:rPr>
        <w:t>2021</w:t>
      </w:r>
      <w:r>
        <w:rPr>
          <w:rFonts w:ascii="Helvetica" w:hAnsi="Helvetica" w:cs="Helvetica"/>
          <w:i/>
          <w:sz w:val="16"/>
          <w:szCs w:val="16"/>
        </w:rPr>
        <w:t>)</w:t>
      </w:r>
    </w:p>
    <w:p w14:paraId="7F5366C3" w14:textId="77777777" w:rsidR="002E30D4" w:rsidRPr="00E73989" w:rsidRDefault="002E30D4" w:rsidP="002E30D4">
      <w:pPr>
        <w:tabs>
          <w:tab w:val="left" w:pos="3969"/>
          <w:tab w:val="left" w:pos="4111"/>
        </w:tabs>
        <w:spacing w:after="0"/>
        <w:rPr>
          <w:rFonts w:ascii="Helvetica" w:hAnsi="Helvetica" w:cs="Helvetica"/>
          <w:sz w:val="20"/>
          <w:szCs w:val="20"/>
          <w:highlight w:val="yellow"/>
        </w:rPr>
      </w:pPr>
    </w:p>
    <w:p w14:paraId="308AF9B8" w14:textId="77777777" w:rsidR="00612AEE" w:rsidRPr="00E73989" w:rsidRDefault="00612AEE" w:rsidP="00612AEE">
      <w:pPr>
        <w:spacing w:after="0"/>
        <w:jc w:val="both"/>
        <w:rPr>
          <w:rFonts w:ascii="Helvetica" w:hAnsi="Helvetica" w:cs="Helvetica"/>
          <w:sz w:val="20"/>
          <w:szCs w:val="20"/>
        </w:rPr>
      </w:pPr>
      <w:r w:rsidRPr="00E73989">
        <w:rPr>
          <w:rFonts w:ascii="Helvetica" w:hAnsi="Helvetica" w:cs="Helvetica"/>
          <w:sz w:val="20"/>
          <w:szCs w:val="20"/>
        </w:rPr>
        <w:t>In terms of Ghana’s top traded products, natural or cultured pearls dominated the export basket, accounting for 35.43% of exports at a value of USD4.34 billion in 2020. Mineral fuels followed in second place at an export value of USD3.45 billion, accounting for 26.37% of exports in the same year. Cocoa and cocoa preparations (USD2.39bn or 19.4%), edible fruit and nuts (USD582.45m or 4.72%), and ores, slag and ash (USD348.55m or 2.82%) made up the rest of the top five exported goods from Ghana in 2020. The export of meat or fish preparations as detailed below had the highest growth in exports, increasing at an average annual rate of 12546.84% per annum from 2016 to 2020. Ores, slag and ash followed in second place with an average growth of 28.06%, while edible fruit and nuts exports followed in third with a growth rate of 20.79% per annum from 2016 to 2020.</w:t>
      </w:r>
    </w:p>
    <w:p w14:paraId="5E9ACFEC" w14:textId="77777777" w:rsidR="00612AEE" w:rsidRPr="00E73989" w:rsidRDefault="00612AEE" w:rsidP="00612AEE">
      <w:pPr>
        <w:spacing w:after="0"/>
        <w:jc w:val="both"/>
        <w:rPr>
          <w:rFonts w:ascii="Helvetica" w:hAnsi="Helvetica" w:cs="Helvetica"/>
          <w:sz w:val="20"/>
          <w:szCs w:val="20"/>
        </w:rPr>
      </w:pPr>
    </w:p>
    <w:p w14:paraId="742786E5" w14:textId="77777777" w:rsidR="00612AEE" w:rsidRPr="00E73989" w:rsidRDefault="00612AEE" w:rsidP="00612AEE">
      <w:pPr>
        <w:spacing w:after="0"/>
        <w:jc w:val="both"/>
        <w:rPr>
          <w:rFonts w:ascii="Helvetica" w:hAnsi="Helvetica" w:cs="Helvetica"/>
          <w:sz w:val="20"/>
          <w:szCs w:val="20"/>
        </w:rPr>
      </w:pPr>
    </w:p>
    <w:p w14:paraId="2B6EEA31" w14:textId="77777777" w:rsidR="00612AEE" w:rsidRPr="00E73989" w:rsidRDefault="00612AEE" w:rsidP="00612AEE">
      <w:pPr>
        <w:spacing w:after="0"/>
        <w:jc w:val="both"/>
        <w:rPr>
          <w:rFonts w:ascii="Arial Narrow" w:hAnsi="Arial Narrow" w:cs="Helvetica"/>
          <w:sz w:val="20"/>
          <w:szCs w:val="20"/>
        </w:rPr>
      </w:pPr>
    </w:p>
    <w:p w14:paraId="591B1BF6" w14:textId="77777777" w:rsidR="00612AEE" w:rsidRPr="00E73989" w:rsidRDefault="00612AEE" w:rsidP="00612AEE">
      <w:pPr>
        <w:spacing w:after="0"/>
        <w:jc w:val="both"/>
        <w:rPr>
          <w:rFonts w:ascii="Arial Narrow" w:hAnsi="Arial Narrow" w:cs="Helvetica"/>
          <w:sz w:val="20"/>
          <w:szCs w:val="20"/>
        </w:rPr>
      </w:pPr>
    </w:p>
    <w:p w14:paraId="000C951F" w14:textId="77777777" w:rsidR="00612AEE" w:rsidRPr="00E73989" w:rsidRDefault="00612AEE" w:rsidP="00612AEE">
      <w:pPr>
        <w:spacing w:after="0"/>
        <w:jc w:val="both"/>
        <w:rPr>
          <w:rFonts w:ascii="Arial Narrow" w:hAnsi="Arial Narrow" w:cs="Helvetica"/>
          <w:sz w:val="20"/>
          <w:szCs w:val="20"/>
        </w:rPr>
      </w:pPr>
    </w:p>
    <w:p w14:paraId="7DC17730" w14:textId="77777777" w:rsidR="00612AEE" w:rsidRPr="00E73989" w:rsidRDefault="00612AEE" w:rsidP="00612AEE">
      <w:pPr>
        <w:spacing w:after="0"/>
        <w:jc w:val="both"/>
        <w:rPr>
          <w:rFonts w:ascii="Arial Narrow" w:hAnsi="Arial Narrow" w:cs="Helvetica"/>
          <w:sz w:val="20"/>
          <w:szCs w:val="20"/>
        </w:rPr>
      </w:pPr>
    </w:p>
    <w:p w14:paraId="02065DBC" w14:textId="77777777" w:rsidR="00612AEE" w:rsidRPr="00E73989" w:rsidRDefault="00612AEE" w:rsidP="00612AEE">
      <w:pPr>
        <w:spacing w:after="0"/>
        <w:jc w:val="both"/>
        <w:rPr>
          <w:rFonts w:ascii="Arial Narrow" w:hAnsi="Arial Narrow" w:cs="Helvetica"/>
          <w:sz w:val="20"/>
          <w:szCs w:val="20"/>
        </w:rPr>
      </w:pPr>
    </w:p>
    <w:p w14:paraId="4946A8C6" w14:textId="77777777" w:rsidR="00612AEE" w:rsidRPr="00E73989" w:rsidRDefault="00612AEE" w:rsidP="00612AEE">
      <w:pPr>
        <w:spacing w:after="0"/>
        <w:jc w:val="both"/>
        <w:rPr>
          <w:rFonts w:ascii="Arial Narrow" w:hAnsi="Arial Narrow" w:cs="Helvetica"/>
          <w:sz w:val="20"/>
          <w:szCs w:val="20"/>
        </w:rPr>
      </w:pPr>
    </w:p>
    <w:p w14:paraId="36C5859B" w14:textId="77777777" w:rsidR="00612AEE" w:rsidRPr="00E73989" w:rsidRDefault="00612AEE" w:rsidP="00612AEE">
      <w:pPr>
        <w:spacing w:after="0"/>
        <w:jc w:val="both"/>
        <w:rPr>
          <w:rFonts w:ascii="Arial Narrow" w:hAnsi="Arial Narrow" w:cs="Helvetica"/>
          <w:sz w:val="20"/>
          <w:szCs w:val="20"/>
        </w:rPr>
      </w:pPr>
    </w:p>
    <w:p w14:paraId="52A35556" w14:textId="77777777" w:rsidR="00612AEE" w:rsidRPr="00E73989" w:rsidRDefault="00612AEE" w:rsidP="00612AEE">
      <w:pPr>
        <w:spacing w:after="0"/>
        <w:jc w:val="both"/>
        <w:rPr>
          <w:rFonts w:ascii="Arial Narrow" w:hAnsi="Arial Narrow" w:cs="Helvetica"/>
          <w:sz w:val="20"/>
          <w:szCs w:val="20"/>
        </w:rPr>
      </w:pPr>
    </w:p>
    <w:p w14:paraId="5F0DAFC3" w14:textId="77777777" w:rsidR="00612AEE" w:rsidRPr="00E73989" w:rsidRDefault="00612AEE" w:rsidP="00612AEE">
      <w:pPr>
        <w:spacing w:after="0"/>
        <w:jc w:val="both"/>
        <w:rPr>
          <w:rFonts w:ascii="Arial Narrow" w:hAnsi="Arial Narrow" w:cs="Helvetica"/>
          <w:sz w:val="20"/>
          <w:szCs w:val="20"/>
        </w:rPr>
      </w:pPr>
    </w:p>
    <w:p w14:paraId="639D8841" w14:textId="6C64CAEB" w:rsidR="00EE085A" w:rsidRPr="00EE085A" w:rsidRDefault="00EE085A" w:rsidP="00EE085A">
      <w:pPr>
        <w:pStyle w:val="Caption"/>
        <w:keepNext/>
        <w:spacing w:after="0"/>
        <w:rPr>
          <w:rFonts w:ascii="Helvetica" w:hAnsi="Helvetica" w:cs="Helvetica"/>
        </w:rPr>
      </w:pPr>
      <w:r w:rsidRPr="00EE085A">
        <w:rPr>
          <w:rFonts w:ascii="Helvetica" w:hAnsi="Helvetica" w:cs="Helvetica"/>
        </w:rPr>
        <w:lastRenderedPageBreak/>
        <w:t xml:space="preserve">Figure </w:t>
      </w:r>
      <w:r w:rsidRPr="00EE085A">
        <w:rPr>
          <w:rFonts w:ascii="Helvetica" w:hAnsi="Helvetica" w:cs="Helvetica"/>
        </w:rPr>
        <w:fldChar w:fldCharType="begin"/>
      </w:r>
      <w:r w:rsidRPr="00EE085A">
        <w:rPr>
          <w:rFonts w:ascii="Helvetica" w:hAnsi="Helvetica" w:cs="Helvetica"/>
        </w:rPr>
        <w:instrText xml:space="preserve"> SEQ Figure \* ARABIC </w:instrText>
      </w:r>
      <w:r w:rsidRPr="00EE085A">
        <w:rPr>
          <w:rFonts w:ascii="Helvetica" w:hAnsi="Helvetica" w:cs="Helvetica"/>
        </w:rPr>
        <w:fldChar w:fldCharType="separate"/>
      </w:r>
      <w:r w:rsidR="003B149F">
        <w:rPr>
          <w:rFonts w:ascii="Helvetica" w:hAnsi="Helvetica" w:cs="Helvetica"/>
          <w:noProof/>
        </w:rPr>
        <w:t>7</w:t>
      </w:r>
      <w:r w:rsidRPr="00EE085A">
        <w:rPr>
          <w:rFonts w:ascii="Helvetica" w:hAnsi="Helvetica" w:cs="Helvetica"/>
        </w:rPr>
        <w:fldChar w:fldCharType="end"/>
      </w:r>
      <w:r w:rsidRPr="00EE085A">
        <w:rPr>
          <w:rFonts w:ascii="Helvetica" w:hAnsi="Helvetica" w:cs="Helvetica"/>
        </w:rPr>
        <w:t>: Ghana’s top 10 exported goods, 2020</w:t>
      </w:r>
    </w:p>
    <w:p w14:paraId="58A2ACBF" w14:textId="77777777" w:rsidR="00612AEE" w:rsidRPr="00E73989" w:rsidRDefault="00612AEE" w:rsidP="00612AEE">
      <w:pPr>
        <w:spacing w:after="0"/>
        <w:jc w:val="center"/>
        <w:rPr>
          <w:rFonts w:ascii="Arial Narrow" w:hAnsi="Arial Narrow" w:cs="Helvetica"/>
          <w:b/>
          <w:sz w:val="20"/>
          <w:szCs w:val="20"/>
        </w:rPr>
      </w:pPr>
      <w:r w:rsidRPr="00E73989">
        <w:rPr>
          <w:rFonts w:ascii="Arial Narrow" w:hAnsi="Arial Narrow" w:cs="Helvetica"/>
          <w:b/>
          <w:noProof/>
          <w:sz w:val="20"/>
          <w:szCs w:val="20"/>
        </w:rPr>
        <w:drawing>
          <wp:inline distT="0" distB="0" distL="0" distR="0" wp14:anchorId="2C822D7D" wp14:editId="6A255BCA">
            <wp:extent cx="6072505" cy="3243253"/>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exports.png"/>
                    <pic:cNvPicPr/>
                  </pic:nvPicPr>
                  <pic:blipFill rotWithShape="1">
                    <a:blip r:embed="rId16">
                      <a:extLst>
                        <a:ext uri="{28A0092B-C50C-407E-A947-70E740481C1C}">
                          <a14:useLocalDpi xmlns:a14="http://schemas.microsoft.com/office/drawing/2010/main" val="0"/>
                        </a:ext>
                      </a:extLst>
                    </a:blip>
                    <a:srcRect t="1787" r="1869" b="2234"/>
                    <a:stretch/>
                  </pic:blipFill>
                  <pic:spPr bwMode="auto">
                    <a:xfrm>
                      <a:off x="0" y="0"/>
                      <a:ext cx="6073019" cy="3243528"/>
                    </a:xfrm>
                    <a:prstGeom prst="rect">
                      <a:avLst/>
                    </a:prstGeom>
                    <a:ln>
                      <a:noFill/>
                    </a:ln>
                    <a:extLst>
                      <a:ext uri="{53640926-AAD7-44D8-BBD7-CCE9431645EC}">
                        <a14:shadowObscured xmlns:a14="http://schemas.microsoft.com/office/drawing/2010/main"/>
                      </a:ext>
                    </a:extLst>
                  </pic:spPr>
                </pic:pic>
              </a:graphicData>
            </a:graphic>
          </wp:inline>
        </w:drawing>
      </w:r>
    </w:p>
    <w:p w14:paraId="73CA09FA" w14:textId="48445420" w:rsidR="00612AEE" w:rsidRPr="00E73989" w:rsidRDefault="00306285" w:rsidP="002E30D4">
      <w:pPr>
        <w:spacing w:after="0"/>
        <w:jc w:val="both"/>
        <w:rPr>
          <w:rFonts w:ascii="Helvetica" w:hAnsi="Helvetica" w:cs="Helvetica"/>
          <w:i/>
          <w:sz w:val="16"/>
          <w:szCs w:val="16"/>
        </w:rPr>
      </w:pPr>
      <w:r>
        <w:rPr>
          <w:rFonts w:ascii="Helvetica" w:hAnsi="Helvetica" w:cs="Helvetica"/>
          <w:i/>
          <w:sz w:val="16"/>
          <w:szCs w:val="16"/>
        </w:rPr>
        <w:t>Source: TradeMap (</w:t>
      </w:r>
      <w:r w:rsidR="00612AEE" w:rsidRPr="00E73989">
        <w:rPr>
          <w:rFonts w:ascii="Helvetica" w:hAnsi="Helvetica" w:cs="Helvetica"/>
          <w:i/>
          <w:sz w:val="16"/>
          <w:szCs w:val="16"/>
        </w:rPr>
        <w:t>2021</w:t>
      </w:r>
      <w:r>
        <w:rPr>
          <w:rFonts w:ascii="Helvetica" w:hAnsi="Helvetica" w:cs="Helvetica"/>
          <w:i/>
          <w:sz w:val="16"/>
          <w:szCs w:val="16"/>
        </w:rPr>
        <w:t>)</w:t>
      </w:r>
    </w:p>
    <w:p w14:paraId="59983967" w14:textId="77777777" w:rsidR="002E30D4" w:rsidRPr="00E73989" w:rsidRDefault="002E30D4" w:rsidP="002E30D4">
      <w:pPr>
        <w:spacing w:after="0"/>
        <w:jc w:val="both"/>
        <w:rPr>
          <w:rFonts w:ascii="Helvetica" w:hAnsi="Helvetica" w:cs="Helvetica"/>
          <w:sz w:val="20"/>
          <w:szCs w:val="20"/>
        </w:rPr>
      </w:pPr>
    </w:p>
    <w:p w14:paraId="28EDBFEC" w14:textId="25923C06" w:rsidR="00612AEE" w:rsidRPr="00E73989" w:rsidRDefault="00612AEE" w:rsidP="002E30D4">
      <w:pPr>
        <w:spacing w:after="0"/>
        <w:jc w:val="both"/>
        <w:rPr>
          <w:rFonts w:ascii="Helvetica" w:hAnsi="Helvetica" w:cs="Helvetica"/>
          <w:sz w:val="20"/>
          <w:szCs w:val="20"/>
        </w:rPr>
      </w:pPr>
      <w:r w:rsidRPr="00E73989">
        <w:rPr>
          <w:rFonts w:ascii="Helvetica" w:hAnsi="Helvetica" w:cs="Helvetica"/>
          <w:sz w:val="20"/>
          <w:szCs w:val="20"/>
        </w:rPr>
        <w:t>Ghana is among the earliest countries to establish diplomatic relations with China and trade relations between the two countries remain strong. To this end, it is therefore no surprise that China was the Ghanaian country’s largest export partner, with exports to China reaching USD2.81 billion in 2019</w:t>
      </w:r>
      <w:r w:rsidRPr="00E73989">
        <w:rPr>
          <w:rStyle w:val="FootnoteReference"/>
          <w:rFonts w:ascii="Helvetica" w:hAnsi="Helvetica" w:cs="Helvetica"/>
          <w:sz w:val="20"/>
          <w:szCs w:val="20"/>
        </w:rPr>
        <w:footnoteReference w:id="5"/>
      </w:r>
      <w:r w:rsidRPr="00E73989">
        <w:rPr>
          <w:rFonts w:ascii="Helvetica" w:hAnsi="Helvetica" w:cs="Helvetica"/>
          <w:sz w:val="20"/>
          <w:szCs w:val="20"/>
        </w:rPr>
        <w:t>. Following in a close second place was Switzerland, where exports to the European powerhouse reached a close USD2.46 billion in 2019, while India ranked in a close third place with exports totalling USD2.38 billion in 2019. Moreover, exports to South Africa ranked in fourth place (USD971m), while the Netherlands (USD966.31m) and the United Arab Emirates (USD899.16m) completed the top five export markets for Ghana in 2019.</w:t>
      </w:r>
    </w:p>
    <w:p w14:paraId="76157741" w14:textId="77777777" w:rsidR="002E30D4" w:rsidRPr="00E73989" w:rsidRDefault="002E30D4" w:rsidP="002E30D4">
      <w:pPr>
        <w:spacing w:after="0"/>
        <w:jc w:val="both"/>
        <w:rPr>
          <w:rFonts w:ascii="Helvetica" w:hAnsi="Helvetica" w:cs="Helvetica"/>
          <w:sz w:val="20"/>
          <w:szCs w:val="20"/>
        </w:rPr>
      </w:pPr>
    </w:p>
    <w:p w14:paraId="71FF67F4" w14:textId="3BC80572" w:rsidR="0038098E" w:rsidRPr="0038098E" w:rsidRDefault="0038098E" w:rsidP="0038098E">
      <w:pPr>
        <w:pStyle w:val="Caption"/>
        <w:keepNext/>
        <w:spacing w:after="0"/>
        <w:rPr>
          <w:rFonts w:ascii="Helvetica" w:hAnsi="Helvetica" w:cs="Helvetica"/>
        </w:rPr>
      </w:pPr>
      <w:r w:rsidRPr="0038098E">
        <w:rPr>
          <w:rFonts w:ascii="Helvetica" w:hAnsi="Helvetica" w:cs="Helvetica"/>
        </w:rPr>
        <w:t xml:space="preserve">Figure </w:t>
      </w:r>
      <w:r w:rsidRPr="0038098E">
        <w:rPr>
          <w:rFonts w:ascii="Helvetica" w:hAnsi="Helvetica" w:cs="Helvetica"/>
        </w:rPr>
        <w:fldChar w:fldCharType="begin"/>
      </w:r>
      <w:r w:rsidRPr="0038098E">
        <w:rPr>
          <w:rFonts w:ascii="Helvetica" w:hAnsi="Helvetica" w:cs="Helvetica"/>
        </w:rPr>
        <w:instrText xml:space="preserve"> SEQ Figure \* ARABIC </w:instrText>
      </w:r>
      <w:r w:rsidRPr="0038098E">
        <w:rPr>
          <w:rFonts w:ascii="Helvetica" w:hAnsi="Helvetica" w:cs="Helvetica"/>
        </w:rPr>
        <w:fldChar w:fldCharType="separate"/>
      </w:r>
      <w:r w:rsidR="003B149F">
        <w:rPr>
          <w:rFonts w:ascii="Helvetica" w:hAnsi="Helvetica" w:cs="Helvetica"/>
          <w:noProof/>
        </w:rPr>
        <w:t>8</w:t>
      </w:r>
      <w:r w:rsidRPr="0038098E">
        <w:rPr>
          <w:rFonts w:ascii="Helvetica" w:hAnsi="Helvetica" w:cs="Helvetica"/>
        </w:rPr>
        <w:fldChar w:fldCharType="end"/>
      </w:r>
      <w:r w:rsidRPr="0038098E">
        <w:rPr>
          <w:rFonts w:ascii="Helvetica" w:hAnsi="Helvetica" w:cs="Helvetica"/>
        </w:rPr>
        <w:t>: Ghana’s top export goods markets, 2019</w:t>
      </w:r>
    </w:p>
    <w:p w14:paraId="4917FDC5" w14:textId="4B510F87" w:rsidR="00612AEE" w:rsidRPr="00E73989" w:rsidRDefault="00612AEE" w:rsidP="002E30D4">
      <w:pPr>
        <w:spacing w:after="0"/>
        <w:rPr>
          <w:rFonts w:ascii="Helvetica" w:hAnsi="Helvetica" w:cs="Helvetica"/>
          <w:i/>
          <w:sz w:val="16"/>
          <w:szCs w:val="16"/>
        </w:rPr>
      </w:pPr>
      <w:r w:rsidRPr="00E73989">
        <w:rPr>
          <w:noProof/>
        </w:rPr>
        <mc:AlternateContent>
          <mc:Choice Requires="cx1">
            <w:drawing>
              <wp:inline distT="0" distB="0" distL="0" distR="0" wp14:anchorId="428F87CA" wp14:editId="3A7627F7">
                <wp:extent cx="6188710" cy="2258695"/>
                <wp:effectExtent l="0" t="0" r="2540" b="8255"/>
                <wp:docPr id="27" name="Chart 27"/>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428F87CA" wp14:editId="3A7627F7">
                <wp:extent cx="6188710" cy="2258695"/>
                <wp:effectExtent l="0" t="0" r="2540" b="8255"/>
                <wp:docPr id="27" name="Chart 2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Chart 27"/>
                        <pic:cNvPicPr>
                          <a:picLocks noGrp="1" noRot="1" noChangeAspect="1" noMove="1" noResize="1" noEditPoints="1" noAdjustHandles="1" noChangeArrowheads="1" noChangeShapeType="1"/>
                        </pic:cNvPicPr>
                      </pic:nvPicPr>
                      <pic:blipFill>
                        <a:blip r:embed="rId18"/>
                        <a:stretch>
                          <a:fillRect/>
                        </a:stretch>
                      </pic:blipFill>
                      <pic:spPr>
                        <a:xfrm>
                          <a:off x="0" y="0"/>
                          <a:ext cx="6188710" cy="2258695"/>
                        </a:xfrm>
                        <a:prstGeom prst="rect">
                          <a:avLst/>
                        </a:prstGeom>
                      </pic:spPr>
                    </pic:pic>
                  </a:graphicData>
                </a:graphic>
              </wp:inline>
            </w:drawing>
          </mc:Fallback>
        </mc:AlternateContent>
      </w:r>
      <w:r w:rsidR="0038098E">
        <w:rPr>
          <w:rFonts w:ascii="Helvetica" w:hAnsi="Helvetica" w:cs="Helvetica"/>
          <w:i/>
          <w:sz w:val="16"/>
          <w:szCs w:val="16"/>
        </w:rPr>
        <w:t>Source: TradeMap (</w:t>
      </w:r>
      <w:r w:rsidRPr="00E73989">
        <w:rPr>
          <w:rFonts w:ascii="Helvetica" w:hAnsi="Helvetica" w:cs="Helvetica"/>
          <w:i/>
          <w:sz w:val="16"/>
          <w:szCs w:val="16"/>
        </w:rPr>
        <w:t>2021</w:t>
      </w:r>
      <w:r w:rsidR="0038098E">
        <w:rPr>
          <w:rFonts w:ascii="Helvetica" w:hAnsi="Helvetica" w:cs="Helvetica"/>
          <w:i/>
          <w:sz w:val="16"/>
          <w:szCs w:val="16"/>
        </w:rPr>
        <w:t>)</w:t>
      </w:r>
    </w:p>
    <w:p w14:paraId="7EA3AACF" w14:textId="77777777" w:rsidR="002E30D4" w:rsidRPr="0038098E" w:rsidRDefault="002E30D4" w:rsidP="002E30D4">
      <w:pPr>
        <w:spacing w:after="0"/>
        <w:rPr>
          <w:rFonts w:ascii="Helvetica" w:hAnsi="Helvetica" w:cs="Helvetica"/>
          <w:sz w:val="20"/>
          <w:szCs w:val="20"/>
          <w:highlight w:val="yellow"/>
        </w:rPr>
      </w:pPr>
    </w:p>
    <w:p w14:paraId="386F4C27" w14:textId="60FB1042" w:rsidR="00612AEE" w:rsidRDefault="00612AEE" w:rsidP="0038098E">
      <w:pPr>
        <w:spacing w:after="0"/>
        <w:jc w:val="both"/>
        <w:rPr>
          <w:rFonts w:ascii="Helvetica" w:hAnsi="Helvetica" w:cs="Helvetica"/>
          <w:sz w:val="20"/>
          <w:szCs w:val="20"/>
        </w:rPr>
      </w:pPr>
      <w:r w:rsidRPr="0038098E">
        <w:rPr>
          <w:rFonts w:ascii="Helvetica" w:hAnsi="Helvetica" w:cs="Helvetica"/>
          <w:sz w:val="20"/>
          <w:szCs w:val="20"/>
        </w:rPr>
        <w:t xml:space="preserve">Turning to imports, machinery and mechanical appliances were the largest imported good into Ghana in 2020, reaching a total import value of USD1.75 billion and comprising a 11% share of the entire import basket. Vehicles and parts thereof ranked in second place with a value of USD1.37 billion (9%), while electrical machinery and equipment ranked in third with a value of USD1.18 billion in 2020 (holding a 7% share). </w:t>
      </w:r>
      <w:r w:rsidRPr="0038098E">
        <w:rPr>
          <w:rFonts w:ascii="Helvetica" w:hAnsi="Helvetica" w:cs="Helvetica"/>
          <w:sz w:val="20"/>
          <w:szCs w:val="20"/>
        </w:rPr>
        <w:lastRenderedPageBreak/>
        <w:t>Completing the top five largest imports into Ghana were the import of plastics and articles thereof (USD865.74m), while mineral fuel imports ranked in fifth place with a value of USD841</w:t>
      </w:r>
      <w:r w:rsidR="0038098E">
        <w:rPr>
          <w:rFonts w:ascii="Helvetica" w:hAnsi="Helvetica" w:cs="Helvetica"/>
          <w:sz w:val="20"/>
          <w:szCs w:val="20"/>
        </w:rPr>
        <w:t>.60 million and accounted for 5</w:t>
      </w:r>
      <w:r w:rsidRPr="0038098E">
        <w:rPr>
          <w:rFonts w:ascii="Helvetica" w:hAnsi="Helvetica" w:cs="Helvetica"/>
          <w:sz w:val="20"/>
          <w:szCs w:val="20"/>
        </w:rPr>
        <w:t>% of Ghana’s import basket in 2020. Meat and edible meat offal showed the strongest growth in imports, increasing at an average annual rate of 49% per annum from 2016 to 2020, while other high growth imports were textile articles (35%); mineral fuels (30%); and plastics at an average growth rate of 16% from 2016 to 2020.</w:t>
      </w:r>
    </w:p>
    <w:p w14:paraId="1AAB9948" w14:textId="77777777" w:rsidR="0038098E" w:rsidRPr="0038098E" w:rsidRDefault="0038098E" w:rsidP="0038098E">
      <w:pPr>
        <w:spacing w:after="0"/>
        <w:jc w:val="both"/>
        <w:rPr>
          <w:rFonts w:ascii="Helvetica" w:hAnsi="Helvetica" w:cs="Helvetica"/>
          <w:sz w:val="20"/>
          <w:szCs w:val="20"/>
        </w:rPr>
      </w:pPr>
    </w:p>
    <w:p w14:paraId="37480F47" w14:textId="298608ED" w:rsidR="00816D78" w:rsidRPr="00816D78" w:rsidRDefault="00816D78" w:rsidP="00816D78">
      <w:pPr>
        <w:pStyle w:val="Caption"/>
        <w:keepNext/>
        <w:spacing w:after="0"/>
        <w:jc w:val="both"/>
        <w:rPr>
          <w:rFonts w:ascii="Helvetica" w:hAnsi="Helvetica" w:cs="Helvetica"/>
        </w:rPr>
      </w:pPr>
      <w:r w:rsidRPr="00816D78">
        <w:rPr>
          <w:rFonts w:ascii="Helvetica" w:hAnsi="Helvetica" w:cs="Helvetica"/>
        </w:rPr>
        <w:t xml:space="preserve">Figure </w:t>
      </w:r>
      <w:r w:rsidRPr="00816D78">
        <w:rPr>
          <w:rFonts w:ascii="Helvetica" w:hAnsi="Helvetica" w:cs="Helvetica"/>
        </w:rPr>
        <w:fldChar w:fldCharType="begin"/>
      </w:r>
      <w:r w:rsidRPr="00816D78">
        <w:rPr>
          <w:rFonts w:ascii="Helvetica" w:hAnsi="Helvetica" w:cs="Helvetica"/>
        </w:rPr>
        <w:instrText xml:space="preserve"> SEQ Figure \* ARABIC </w:instrText>
      </w:r>
      <w:r w:rsidRPr="00816D78">
        <w:rPr>
          <w:rFonts w:ascii="Helvetica" w:hAnsi="Helvetica" w:cs="Helvetica"/>
        </w:rPr>
        <w:fldChar w:fldCharType="separate"/>
      </w:r>
      <w:r w:rsidR="003B149F">
        <w:rPr>
          <w:rFonts w:ascii="Helvetica" w:hAnsi="Helvetica" w:cs="Helvetica"/>
          <w:noProof/>
        </w:rPr>
        <w:t>9</w:t>
      </w:r>
      <w:r w:rsidRPr="00816D78">
        <w:rPr>
          <w:rFonts w:ascii="Helvetica" w:hAnsi="Helvetica" w:cs="Helvetica"/>
        </w:rPr>
        <w:fldChar w:fldCharType="end"/>
      </w:r>
      <w:r w:rsidRPr="00816D78">
        <w:rPr>
          <w:rFonts w:ascii="Helvetica" w:hAnsi="Helvetica" w:cs="Helvetica"/>
        </w:rPr>
        <w:t>: Ghana’s top 10 imported goods, 2020</w:t>
      </w:r>
    </w:p>
    <w:p w14:paraId="6501DD10" w14:textId="77777777" w:rsidR="00612AEE" w:rsidRPr="00E73989" w:rsidRDefault="00612AEE" w:rsidP="00612AEE">
      <w:pPr>
        <w:spacing w:after="0"/>
        <w:jc w:val="both"/>
        <w:rPr>
          <w:rFonts w:ascii="Arial Narrow" w:hAnsi="Arial Narrow" w:cs="Helvetica"/>
          <w:i/>
          <w:sz w:val="20"/>
          <w:szCs w:val="20"/>
          <w:highlight w:val="yellow"/>
        </w:rPr>
      </w:pPr>
      <w:r w:rsidRPr="00E73989">
        <w:rPr>
          <w:rFonts w:ascii="Arial Narrow" w:hAnsi="Arial Narrow" w:cs="Helvetica"/>
          <w:i/>
          <w:noProof/>
          <w:sz w:val="20"/>
          <w:szCs w:val="20"/>
        </w:rPr>
        <w:drawing>
          <wp:inline distT="0" distB="0" distL="0" distR="0" wp14:anchorId="5253E2C6" wp14:editId="0416762F">
            <wp:extent cx="6027654" cy="3476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p imports.png"/>
                    <pic:cNvPicPr/>
                  </pic:nvPicPr>
                  <pic:blipFill rotWithShape="1">
                    <a:blip r:embed="rId19">
                      <a:extLst>
                        <a:ext uri="{28A0092B-C50C-407E-A947-70E740481C1C}">
                          <a14:useLocalDpi xmlns:a14="http://schemas.microsoft.com/office/drawing/2010/main" val="0"/>
                        </a:ext>
                      </a:extLst>
                    </a:blip>
                    <a:srcRect l="975" t="1633" r="1581" b="1980"/>
                    <a:stretch/>
                  </pic:blipFill>
                  <pic:spPr bwMode="auto">
                    <a:xfrm>
                      <a:off x="0" y="0"/>
                      <a:ext cx="6033425" cy="3479773"/>
                    </a:xfrm>
                    <a:prstGeom prst="rect">
                      <a:avLst/>
                    </a:prstGeom>
                    <a:ln>
                      <a:noFill/>
                    </a:ln>
                    <a:extLst>
                      <a:ext uri="{53640926-AAD7-44D8-BBD7-CCE9431645EC}">
                        <a14:shadowObscured xmlns:a14="http://schemas.microsoft.com/office/drawing/2010/main"/>
                      </a:ext>
                    </a:extLst>
                  </pic:spPr>
                </pic:pic>
              </a:graphicData>
            </a:graphic>
          </wp:inline>
        </w:drawing>
      </w:r>
    </w:p>
    <w:p w14:paraId="138A8FC6" w14:textId="3C0DFD44" w:rsidR="00612AEE" w:rsidRDefault="00816D78" w:rsidP="00816D78">
      <w:pPr>
        <w:spacing w:after="0"/>
        <w:jc w:val="both"/>
        <w:rPr>
          <w:rFonts w:ascii="Helvetica" w:hAnsi="Helvetica" w:cs="Helvetica"/>
          <w:i/>
          <w:sz w:val="18"/>
          <w:szCs w:val="18"/>
        </w:rPr>
      </w:pPr>
      <w:r w:rsidRPr="00816D78">
        <w:rPr>
          <w:rFonts w:ascii="Helvetica" w:hAnsi="Helvetica" w:cs="Helvetica"/>
          <w:i/>
          <w:sz w:val="18"/>
          <w:szCs w:val="18"/>
        </w:rPr>
        <w:t>Source: TradeMap (</w:t>
      </w:r>
      <w:r w:rsidR="00612AEE" w:rsidRPr="00816D78">
        <w:rPr>
          <w:rFonts w:ascii="Helvetica" w:hAnsi="Helvetica" w:cs="Helvetica"/>
          <w:i/>
          <w:sz w:val="18"/>
          <w:szCs w:val="18"/>
        </w:rPr>
        <w:t>2021</w:t>
      </w:r>
      <w:r w:rsidRPr="00816D78">
        <w:rPr>
          <w:rFonts w:ascii="Helvetica" w:hAnsi="Helvetica" w:cs="Helvetica"/>
          <w:i/>
          <w:sz w:val="18"/>
          <w:szCs w:val="18"/>
        </w:rPr>
        <w:t>)</w:t>
      </w:r>
    </w:p>
    <w:p w14:paraId="7FB9F14A" w14:textId="77777777" w:rsidR="00816D78" w:rsidRPr="00816D78" w:rsidRDefault="00816D78" w:rsidP="00816D78">
      <w:pPr>
        <w:spacing w:after="0"/>
        <w:jc w:val="both"/>
        <w:rPr>
          <w:rFonts w:ascii="Helvetica" w:hAnsi="Helvetica" w:cs="Helvetica"/>
          <w:sz w:val="20"/>
          <w:szCs w:val="20"/>
        </w:rPr>
      </w:pPr>
    </w:p>
    <w:p w14:paraId="45BA540E" w14:textId="40A5B76B" w:rsidR="00612AEE" w:rsidRDefault="00612AEE" w:rsidP="00612AEE">
      <w:pPr>
        <w:spacing w:after="0"/>
        <w:jc w:val="both"/>
        <w:rPr>
          <w:rFonts w:ascii="Helvetica" w:hAnsi="Helvetica" w:cs="Helvetica"/>
          <w:sz w:val="20"/>
          <w:szCs w:val="20"/>
        </w:rPr>
      </w:pPr>
      <w:r w:rsidRPr="00816D78">
        <w:rPr>
          <w:rFonts w:ascii="Helvetica" w:hAnsi="Helvetica" w:cs="Helvetica"/>
          <w:sz w:val="20"/>
          <w:szCs w:val="20"/>
        </w:rPr>
        <w:t>Expectedly, with strong bilateral relations between China and Ghana, China ranked as the nation</w:t>
      </w:r>
      <w:r w:rsidR="00816D78">
        <w:rPr>
          <w:rFonts w:ascii="Helvetica" w:hAnsi="Helvetica" w:cs="Helvetica"/>
          <w:sz w:val="20"/>
          <w:szCs w:val="20"/>
        </w:rPr>
        <w:t>’</w:t>
      </w:r>
      <w:r w:rsidRPr="00816D78">
        <w:rPr>
          <w:rFonts w:ascii="Helvetica" w:hAnsi="Helvetica" w:cs="Helvetica"/>
          <w:sz w:val="20"/>
          <w:szCs w:val="20"/>
        </w:rPr>
        <w:t>s largest import partner in 2019, with imports reaching total value of USD1.89 billion in 2019. Imports from the United States, Ghana’s second largest import partner was half that of imports from China at USD976.22 million, while imports from the United Kingdom (USD685.55m), Belgium (USD532.89m) and Turkey (466.79m) ranked in third, fourth and fifth place, respectively in 2019. In contrast, South Africa was Ghana’s seventh largest import market, reaching a total import value of USD357.61m in 2019.</w:t>
      </w:r>
    </w:p>
    <w:p w14:paraId="307A5698" w14:textId="77777777" w:rsidR="00816D78" w:rsidRPr="00816D78" w:rsidRDefault="00816D78" w:rsidP="00816D78">
      <w:pPr>
        <w:spacing w:after="0"/>
        <w:rPr>
          <w:rFonts w:ascii="Helvetica" w:hAnsi="Helvetica" w:cs="Helvetica"/>
          <w:sz w:val="20"/>
          <w:szCs w:val="20"/>
        </w:rPr>
      </w:pPr>
    </w:p>
    <w:p w14:paraId="32DCB1FE" w14:textId="50F68433" w:rsidR="00816D78" w:rsidRPr="00816D78" w:rsidRDefault="00816D78" w:rsidP="00816D78">
      <w:pPr>
        <w:pStyle w:val="Caption"/>
        <w:keepNext/>
        <w:spacing w:after="0"/>
        <w:rPr>
          <w:rFonts w:ascii="Helvetica" w:hAnsi="Helvetica" w:cs="Helvetica"/>
        </w:rPr>
      </w:pPr>
      <w:r w:rsidRPr="00816D78">
        <w:rPr>
          <w:rFonts w:ascii="Helvetica" w:hAnsi="Helvetica" w:cs="Helvetica"/>
        </w:rPr>
        <w:t xml:space="preserve">Figure </w:t>
      </w:r>
      <w:r w:rsidRPr="00816D78">
        <w:rPr>
          <w:rFonts w:ascii="Helvetica" w:hAnsi="Helvetica" w:cs="Helvetica"/>
        </w:rPr>
        <w:fldChar w:fldCharType="begin"/>
      </w:r>
      <w:r w:rsidRPr="00816D78">
        <w:rPr>
          <w:rFonts w:ascii="Helvetica" w:hAnsi="Helvetica" w:cs="Helvetica"/>
        </w:rPr>
        <w:instrText xml:space="preserve"> SEQ Figure \* ARABIC </w:instrText>
      </w:r>
      <w:r w:rsidRPr="00816D78">
        <w:rPr>
          <w:rFonts w:ascii="Helvetica" w:hAnsi="Helvetica" w:cs="Helvetica"/>
        </w:rPr>
        <w:fldChar w:fldCharType="separate"/>
      </w:r>
      <w:r w:rsidR="003B149F">
        <w:rPr>
          <w:rFonts w:ascii="Helvetica" w:hAnsi="Helvetica" w:cs="Helvetica"/>
          <w:noProof/>
        </w:rPr>
        <w:t>10</w:t>
      </w:r>
      <w:r w:rsidRPr="00816D78">
        <w:rPr>
          <w:rFonts w:ascii="Helvetica" w:hAnsi="Helvetica" w:cs="Helvetica"/>
        </w:rPr>
        <w:fldChar w:fldCharType="end"/>
      </w:r>
      <w:r w:rsidRPr="00816D78">
        <w:rPr>
          <w:rFonts w:ascii="Helvetica" w:hAnsi="Helvetica" w:cs="Helvetica"/>
        </w:rPr>
        <w:t>: Ghana’s top import goods markets, 2019</w:t>
      </w:r>
    </w:p>
    <w:p w14:paraId="5778FC17" w14:textId="77777777" w:rsidR="00612AEE" w:rsidRPr="00E73989" w:rsidRDefault="00612AEE" w:rsidP="00816D78">
      <w:pPr>
        <w:spacing w:after="0"/>
        <w:rPr>
          <w:rFonts w:ascii="Arial Narrow" w:hAnsi="Arial Narrow" w:cs="Helvetica"/>
          <w:b/>
          <w:sz w:val="20"/>
          <w:szCs w:val="20"/>
          <w:highlight w:val="yellow"/>
        </w:rPr>
      </w:pPr>
      <w:r w:rsidRPr="00E73989">
        <w:rPr>
          <w:noProof/>
        </w:rPr>
        <mc:AlternateContent>
          <mc:Choice Requires="cx1">
            <w:drawing>
              <wp:inline distT="0" distB="0" distL="0" distR="0" wp14:anchorId="7CBFEFD1" wp14:editId="5C666759">
                <wp:extent cx="6176010" cy="2286000"/>
                <wp:effectExtent l="0" t="0" r="15240" b="0"/>
                <wp:docPr id="6" name="Chart 6"/>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7CBFEFD1" wp14:editId="5C666759">
                <wp:extent cx="6176010" cy="2286000"/>
                <wp:effectExtent l="0" t="0" r="15240" b="0"/>
                <wp:docPr id="6" name="Chart 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Chart 6"/>
                        <pic:cNvPicPr>
                          <a:picLocks noGrp="1" noRot="1" noChangeAspect="1" noMove="1" noResize="1" noEditPoints="1" noAdjustHandles="1" noChangeArrowheads="1" noChangeShapeType="1"/>
                        </pic:cNvPicPr>
                      </pic:nvPicPr>
                      <pic:blipFill>
                        <a:blip r:embed="rId21"/>
                        <a:stretch>
                          <a:fillRect/>
                        </a:stretch>
                      </pic:blipFill>
                      <pic:spPr>
                        <a:xfrm>
                          <a:off x="0" y="0"/>
                          <a:ext cx="6176010" cy="2286000"/>
                        </a:xfrm>
                        <a:prstGeom prst="rect">
                          <a:avLst/>
                        </a:prstGeom>
                      </pic:spPr>
                    </pic:pic>
                  </a:graphicData>
                </a:graphic>
              </wp:inline>
            </w:drawing>
          </mc:Fallback>
        </mc:AlternateContent>
      </w:r>
    </w:p>
    <w:p w14:paraId="576BEFB9" w14:textId="7A5054EB" w:rsidR="00612AEE" w:rsidRPr="00816D78" w:rsidRDefault="00816D78" w:rsidP="00612AEE">
      <w:pPr>
        <w:spacing w:after="0"/>
        <w:jc w:val="both"/>
        <w:rPr>
          <w:rFonts w:ascii="Helvetica" w:hAnsi="Helvetica" w:cs="Helvetica"/>
          <w:b/>
          <w:sz w:val="16"/>
          <w:szCs w:val="16"/>
        </w:rPr>
      </w:pPr>
      <w:r w:rsidRPr="00816D78">
        <w:rPr>
          <w:rFonts w:ascii="Helvetica" w:hAnsi="Helvetica" w:cs="Helvetica"/>
          <w:i/>
          <w:sz w:val="16"/>
          <w:szCs w:val="16"/>
        </w:rPr>
        <w:t>Source: TradeMap (</w:t>
      </w:r>
      <w:r w:rsidR="00612AEE" w:rsidRPr="00816D78">
        <w:rPr>
          <w:rFonts w:ascii="Helvetica" w:hAnsi="Helvetica" w:cs="Helvetica"/>
          <w:i/>
          <w:sz w:val="16"/>
          <w:szCs w:val="16"/>
        </w:rPr>
        <w:t>2021</w:t>
      </w:r>
      <w:r w:rsidRPr="00816D78">
        <w:rPr>
          <w:rFonts w:ascii="Helvetica" w:hAnsi="Helvetica" w:cs="Helvetica"/>
          <w:i/>
          <w:sz w:val="16"/>
          <w:szCs w:val="16"/>
        </w:rPr>
        <w:t>)</w:t>
      </w:r>
    </w:p>
    <w:p w14:paraId="21CA17CD" w14:textId="5A6524E6" w:rsidR="00612AEE" w:rsidRPr="00816D78" w:rsidRDefault="00816D78" w:rsidP="00612AEE">
      <w:pPr>
        <w:spacing w:after="0"/>
        <w:jc w:val="both"/>
        <w:rPr>
          <w:rFonts w:ascii="Helvetica" w:hAnsi="Helvetica" w:cs="Helvetica"/>
          <w:sz w:val="20"/>
          <w:szCs w:val="20"/>
        </w:rPr>
      </w:pPr>
      <w:r w:rsidRPr="00816D78">
        <w:rPr>
          <w:rFonts w:ascii="Helvetica" w:hAnsi="Helvetica" w:cs="Helvetica"/>
          <w:sz w:val="20"/>
          <w:szCs w:val="20"/>
        </w:rPr>
        <w:lastRenderedPageBreak/>
        <w:t>Figure 11</w:t>
      </w:r>
      <w:r w:rsidR="00612AEE" w:rsidRPr="00816D78">
        <w:rPr>
          <w:rFonts w:ascii="Helvetica" w:hAnsi="Helvetica" w:cs="Helvetica"/>
          <w:sz w:val="20"/>
          <w:szCs w:val="20"/>
        </w:rPr>
        <w:t xml:space="preserve"> below illustrates Ghana’s dominance on the global trade front. In 2020, despite global disruptions to cross-border trade and disruptive supply chains, Ghana accounted for 0.1% of global exports and 0.1% of global imports, making it the 81st largest global exporter and the 82nd largest global importer in 2020</w:t>
      </w:r>
      <w:r w:rsidR="0041422C">
        <w:rPr>
          <w:rFonts w:ascii="Helvetica" w:hAnsi="Helvetica" w:cs="Helvetica"/>
          <w:sz w:val="20"/>
          <w:szCs w:val="20"/>
        </w:rPr>
        <w:t>. Furthermore, Ghana held a rel</w:t>
      </w:r>
      <w:r w:rsidR="00612AEE" w:rsidRPr="00816D78">
        <w:rPr>
          <w:rFonts w:ascii="Helvetica" w:hAnsi="Helvetica" w:cs="Helvetica"/>
          <w:sz w:val="20"/>
          <w:szCs w:val="20"/>
        </w:rPr>
        <w:t xml:space="preserve">ative trade advantage in the exports of cocoa and cocoa </w:t>
      </w:r>
      <w:r w:rsidR="0041422C" w:rsidRPr="00816D78">
        <w:rPr>
          <w:rFonts w:ascii="Helvetica" w:hAnsi="Helvetica" w:cs="Helvetica"/>
          <w:sz w:val="20"/>
          <w:szCs w:val="20"/>
        </w:rPr>
        <w:t>preparations</w:t>
      </w:r>
      <w:r w:rsidR="00612AEE" w:rsidRPr="00816D78">
        <w:rPr>
          <w:rFonts w:ascii="Helvetica" w:hAnsi="Helvetica" w:cs="Helvetica"/>
          <w:sz w:val="20"/>
          <w:szCs w:val="20"/>
        </w:rPr>
        <w:t>, given that it was the sixth largest global exporter of these traded goods in 2020. Moreover, Ghana was the ninth largest global importer of feather and downs, and the 33</w:t>
      </w:r>
      <w:r w:rsidR="00612AEE" w:rsidRPr="00816D78">
        <w:rPr>
          <w:rFonts w:ascii="Helvetica" w:hAnsi="Helvetica" w:cs="Helvetica"/>
          <w:sz w:val="20"/>
          <w:szCs w:val="20"/>
          <w:vertAlign w:val="superscript"/>
        </w:rPr>
        <w:t>rd</w:t>
      </w:r>
      <w:r w:rsidR="0041422C">
        <w:rPr>
          <w:rFonts w:ascii="Helvetica" w:hAnsi="Helvetica" w:cs="Helvetica"/>
          <w:sz w:val="20"/>
          <w:szCs w:val="20"/>
        </w:rPr>
        <w:t xml:space="preserve"> </w:t>
      </w:r>
      <w:r w:rsidR="00612AEE" w:rsidRPr="00816D78">
        <w:rPr>
          <w:rFonts w:ascii="Helvetica" w:hAnsi="Helvetica" w:cs="Helvetica"/>
          <w:sz w:val="20"/>
          <w:szCs w:val="20"/>
        </w:rPr>
        <w:t>largest global importer of explosives and pyrotechnic products as shown in Figure 13 below:</w:t>
      </w:r>
    </w:p>
    <w:p w14:paraId="33E5FCFB" w14:textId="77777777" w:rsidR="00816D78" w:rsidRPr="00816D78" w:rsidRDefault="00816D78" w:rsidP="00612AEE">
      <w:pPr>
        <w:spacing w:after="0"/>
        <w:jc w:val="both"/>
        <w:rPr>
          <w:rFonts w:ascii="Arial Narrow" w:hAnsi="Arial Narrow" w:cs="Helvetica"/>
          <w:sz w:val="20"/>
          <w:szCs w:val="20"/>
        </w:rPr>
      </w:pPr>
    </w:p>
    <w:p w14:paraId="7061E3EA" w14:textId="56B5F771" w:rsidR="00612AEE" w:rsidRPr="00E73989" w:rsidRDefault="00816D78" w:rsidP="00612AEE">
      <w:pPr>
        <w:spacing w:after="0"/>
        <w:jc w:val="both"/>
        <w:rPr>
          <w:rFonts w:ascii="Arial Narrow" w:hAnsi="Arial Narrow" w:cs="Helvetica"/>
          <w:sz w:val="20"/>
          <w:szCs w:val="20"/>
          <w:highlight w:val="yellow"/>
        </w:rPr>
      </w:pPr>
      <w:r>
        <w:rPr>
          <w:noProof/>
        </w:rPr>
        <mc:AlternateContent>
          <mc:Choice Requires="wps">
            <w:drawing>
              <wp:anchor distT="0" distB="0" distL="114300" distR="114300" simplePos="0" relativeHeight="251764736" behindDoc="1" locked="0" layoutInCell="1" allowOverlap="1" wp14:anchorId="4C07FEAB" wp14:editId="7777FDDD">
                <wp:simplePos x="0" y="0"/>
                <wp:positionH relativeFrom="column">
                  <wp:posOffset>435610</wp:posOffset>
                </wp:positionH>
                <wp:positionV relativeFrom="paragraph">
                  <wp:posOffset>9789</wp:posOffset>
                </wp:positionV>
                <wp:extent cx="5781675" cy="146649"/>
                <wp:effectExtent l="0" t="0" r="9525" b="6350"/>
                <wp:wrapNone/>
                <wp:docPr id="79" name="Text Box 79"/>
                <wp:cNvGraphicFramePr/>
                <a:graphic xmlns:a="http://schemas.openxmlformats.org/drawingml/2006/main">
                  <a:graphicData uri="http://schemas.microsoft.com/office/word/2010/wordprocessingShape">
                    <wps:wsp>
                      <wps:cNvSpPr txBox="1"/>
                      <wps:spPr>
                        <a:xfrm>
                          <a:off x="0" y="0"/>
                          <a:ext cx="5781675" cy="146649"/>
                        </a:xfrm>
                        <a:prstGeom prst="rect">
                          <a:avLst/>
                        </a:prstGeom>
                        <a:solidFill>
                          <a:prstClr val="white"/>
                        </a:solidFill>
                        <a:ln>
                          <a:noFill/>
                        </a:ln>
                      </wps:spPr>
                      <wps:txbx>
                        <w:txbxContent>
                          <w:p w14:paraId="22C6F0A6" w14:textId="6791BA17" w:rsidR="0036774F" w:rsidRPr="0041422C" w:rsidRDefault="0036774F" w:rsidP="00816D78">
                            <w:pPr>
                              <w:pStyle w:val="Caption"/>
                              <w:spacing w:after="0"/>
                              <w:rPr>
                                <w:rFonts w:ascii="Helvetica" w:hAnsi="Helvetica" w:cs="Helvetica"/>
                                <w:noProof/>
                                <w:sz w:val="20"/>
                                <w:szCs w:val="20"/>
                              </w:rPr>
                            </w:pPr>
                            <w:r w:rsidRPr="0041422C">
                              <w:rPr>
                                <w:rFonts w:ascii="Helvetica" w:hAnsi="Helvetica" w:cs="Helvetica"/>
                              </w:rPr>
                              <w:t xml:space="preserve">Figure </w:t>
                            </w:r>
                            <w:r w:rsidRPr="0041422C">
                              <w:rPr>
                                <w:rFonts w:ascii="Helvetica" w:hAnsi="Helvetica" w:cs="Helvetica"/>
                              </w:rPr>
                              <w:fldChar w:fldCharType="begin"/>
                            </w:r>
                            <w:r w:rsidRPr="0041422C">
                              <w:rPr>
                                <w:rFonts w:ascii="Helvetica" w:hAnsi="Helvetica" w:cs="Helvetica"/>
                              </w:rPr>
                              <w:instrText xml:space="preserve"> SEQ Figure \* ARABIC </w:instrText>
                            </w:r>
                            <w:r w:rsidRPr="0041422C">
                              <w:rPr>
                                <w:rFonts w:ascii="Helvetica" w:hAnsi="Helvetica" w:cs="Helvetica"/>
                              </w:rPr>
                              <w:fldChar w:fldCharType="separate"/>
                            </w:r>
                            <w:r>
                              <w:rPr>
                                <w:rFonts w:ascii="Helvetica" w:hAnsi="Helvetica" w:cs="Helvetica"/>
                                <w:noProof/>
                              </w:rPr>
                              <w:t>11</w:t>
                            </w:r>
                            <w:r w:rsidRPr="0041422C">
                              <w:rPr>
                                <w:rFonts w:ascii="Helvetica" w:hAnsi="Helvetica" w:cs="Helvetica"/>
                              </w:rPr>
                              <w:fldChar w:fldCharType="end"/>
                            </w:r>
                            <w:r w:rsidRPr="0041422C">
                              <w:rPr>
                                <w:rFonts w:ascii="Helvetica" w:hAnsi="Helvetica" w:cs="Helvetica"/>
                              </w:rPr>
                              <w:t>: Ghana’s competitive trade advantage,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07FEAB" id="_x0000_t202" coordsize="21600,21600" o:spt="202" path="m,l,21600r21600,l21600,xe">
                <v:stroke joinstyle="miter"/>
                <v:path gradientshapeok="t" o:connecttype="rect"/>
              </v:shapetype>
              <v:shape id="Text Box 79" o:spid="_x0000_s1026" type="#_x0000_t202" style="position:absolute;left:0;text-align:left;margin-left:34.3pt;margin-top:.75pt;width:455.25pt;height:11.55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" stroked="f">
                <v:textbox inset="0,0,0,0">
                  <w:txbxContent>
                    <w:p w14:paraId="22C6F0A6" w14:textId="6791BA17" w:rsidR="0036774F" w:rsidRPr="0041422C" w:rsidRDefault="0036774F" w:rsidP="00816D78">
                      <w:pPr>
                        <w:pStyle w:val="Caption"/>
                        <w:spacing w:after="0"/>
                        <w:rPr>
                          <w:rFonts w:ascii="Helvetica" w:hAnsi="Helvetica" w:cs="Helvetica"/>
                          <w:noProof/>
                          <w:sz w:val="20"/>
                          <w:szCs w:val="20"/>
                        </w:rPr>
                      </w:pPr>
                      <w:r w:rsidRPr="0041422C">
                        <w:rPr>
                          <w:rFonts w:ascii="Helvetica" w:hAnsi="Helvetica" w:cs="Helvetica"/>
                        </w:rPr>
                        <w:t xml:space="preserve">Figure </w:t>
                      </w:r>
                      <w:r w:rsidRPr="0041422C">
                        <w:rPr>
                          <w:rFonts w:ascii="Helvetica" w:hAnsi="Helvetica" w:cs="Helvetica"/>
                        </w:rPr>
                        <w:fldChar w:fldCharType="begin"/>
                      </w:r>
                      <w:r w:rsidRPr="0041422C">
                        <w:rPr>
                          <w:rFonts w:ascii="Helvetica" w:hAnsi="Helvetica" w:cs="Helvetica"/>
                        </w:rPr>
                        <w:instrText xml:space="preserve"> SEQ Figure \* ARABIC </w:instrText>
                      </w:r>
                      <w:r w:rsidRPr="0041422C">
                        <w:rPr>
                          <w:rFonts w:ascii="Helvetica" w:hAnsi="Helvetica" w:cs="Helvetica"/>
                        </w:rPr>
                        <w:fldChar w:fldCharType="separate"/>
                      </w:r>
                      <w:r>
                        <w:rPr>
                          <w:rFonts w:ascii="Helvetica" w:hAnsi="Helvetica" w:cs="Helvetica"/>
                          <w:noProof/>
                        </w:rPr>
                        <w:t>11</w:t>
                      </w:r>
                      <w:r w:rsidRPr="0041422C">
                        <w:rPr>
                          <w:rFonts w:ascii="Helvetica" w:hAnsi="Helvetica" w:cs="Helvetica"/>
                        </w:rPr>
                        <w:fldChar w:fldCharType="end"/>
                      </w:r>
                      <w:r w:rsidRPr="0041422C">
                        <w:rPr>
                          <w:rFonts w:ascii="Helvetica" w:hAnsi="Helvetica" w:cs="Helvetica"/>
                        </w:rPr>
                        <w:t>: Ghana’s competitive trade advantage, 2020</w:t>
                      </w:r>
                    </w:p>
                  </w:txbxContent>
                </v:textbox>
              </v:shape>
            </w:pict>
          </mc:Fallback>
        </mc:AlternateContent>
      </w:r>
    </w:p>
    <w:p w14:paraId="767175A0" w14:textId="6524FACA" w:rsidR="00612AEE" w:rsidRPr="00E73989" w:rsidRDefault="00612AEE" w:rsidP="00612AEE">
      <w:pPr>
        <w:spacing w:after="0"/>
        <w:jc w:val="both"/>
        <w:rPr>
          <w:rFonts w:ascii="Arial Narrow" w:hAnsi="Arial Narrow" w:cs="Helvetica"/>
          <w:sz w:val="20"/>
          <w:szCs w:val="20"/>
          <w:highlight w:val="yellow"/>
        </w:rPr>
      </w:pPr>
      <w:r w:rsidRPr="00E73989">
        <w:rPr>
          <w:rFonts w:ascii="Arial Narrow" w:hAnsi="Arial Narrow" w:cs="Helvetica"/>
          <w:noProof/>
          <w:sz w:val="20"/>
          <w:szCs w:val="20"/>
        </w:rPr>
        <w:drawing>
          <wp:anchor distT="0" distB="0" distL="114300" distR="114300" simplePos="0" relativeHeight="251755520" behindDoc="1" locked="0" layoutInCell="1" allowOverlap="1" wp14:anchorId="0418C4C7" wp14:editId="75FE562A">
            <wp:simplePos x="0" y="0"/>
            <wp:positionH relativeFrom="column">
              <wp:posOffset>438150</wp:posOffset>
            </wp:positionH>
            <wp:positionV relativeFrom="paragraph">
              <wp:posOffset>32912</wp:posOffset>
            </wp:positionV>
            <wp:extent cx="5781675" cy="2724150"/>
            <wp:effectExtent l="0" t="38100" r="0" b="9525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Pr="00E73989">
        <w:rPr>
          <w:rFonts w:ascii="Arial Narrow" w:hAnsi="Arial Narrow" w:cs="Helvetica"/>
          <w:sz w:val="20"/>
          <w:szCs w:val="20"/>
          <w:highlight w:val="yellow"/>
        </w:rPr>
        <w:t xml:space="preserve"> </w:t>
      </w:r>
    </w:p>
    <w:p w14:paraId="79BA716F" w14:textId="77777777" w:rsidR="00612AEE" w:rsidRPr="00E73989" w:rsidRDefault="00612AEE" w:rsidP="00612AEE">
      <w:pPr>
        <w:spacing w:after="0"/>
        <w:ind w:left="142"/>
        <w:rPr>
          <w:rFonts w:ascii="Arial Narrow" w:hAnsi="Arial Narrow" w:cs="Helvetica"/>
          <w:i/>
          <w:sz w:val="20"/>
          <w:szCs w:val="20"/>
          <w:highlight w:val="yellow"/>
        </w:rPr>
      </w:pPr>
    </w:p>
    <w:p w14:paraId="009EA856" w14:textId="77777777" w:rsidR="00612AEE" w:rsidRPr="00E73989" w:rsidRDefault="00612AEE" w:rsidP="00612AEE">
      <w:pPr>
        <w:spacing w:after="0"/>
        <w:ind w:left="142"/>
        <w:rPr>
          <w:rFonts w:ascii="Arial Narrow" w:hAnsi="Arial Narrow" w:cs="Helvetica"/>
          <w:i/>
          <w:sz w:val="20"/>
          <w:szCs w:val="20"/>
          <w:highlight w:val="yellow"/>
        </w:rPr>
      </w:pPr>
    </w:p>
    <w:p w14:paraId="61ACAC34" w14:textId="77777777" w:rsidR="00612AEE" w:rsidRPr="00E73989" w:rsidRDefault="00612AEE" w:rsidP="00612AEE">
      <w:pPr>
        <w:spacing w:after="0"/>
        <w:rPr>
          <w:rFonts w:ascii="Arial Narrow" w:hAnsi="Arial Narrow" w:cs="Helvetica"/>
          <w:b/>
          <w:sz w:val="20"/>
          <w:szCs w:val="20"/>
          <w:highlight w:val="yellow"/>
        </w:rPr>
      </w:pPr>
    </w:p>
    <w:p w14:paraId="3857333D" w14:textId="77777777" w:rsidR="00612AEE" w:rsidRPr="00E73989" w:rsidRDefault="00612AEE" w:rsidP="00612AEE">
      <w:pPr>
        <w:spacing w:after="0"/>
        <w:rPr>
          <w:rFonts w:ascii="Arial Narrow" w:hAnsi="Arial Narrow" w:cs="Helvetica"/>
          <w:b/>
          <w:sz w:val="20"/>
          <w:szCs w:val="20"/>
          <w:highlight w:val="yellow"/>
        </w:rPr>
      </w:pPr>
    </w:p>
    <w:p w14:paraId="04558321" w14:textId="77777777" w:rsidR="00612AEE" w:rsidRPr="00E73989" w:rsidRDefault="00612AEE" w:rsidP="00612AEE">
      <w:pPr>
        <w:pStyle w:val="ListParagraph"/>
        <w:ind w:left="3686"/>
        <w:jc w:val="center"/>
        <w:rPr>
          <w:rFonts w:ascii="Arial Narrow" w:hAnsi="Arial Narrow" w:cs="Helvetica"/>
          <w:sz w:val="20"/>
          <w:szCs w:val="20"/>
          <w:highlight w:val="yellow"/>
        </w:rPr>
      </w:pPr>
    </w:p>
    <w:p w14:paraId="5F9445E7" w14:textId="77777777" w:rsidR="00612AEE" w:rsidRPr="00E73989" w:rsidRDefault="00612AEE" w:rsidP="00612AEE">
      <w:pPr>
        <w:pStyle w:val="ListParagraph"/>
        <w:ind w:left="3686"/>
        <w:jc w:val="center"/>
        <w:rPr>
          <w:rFonts w:ascii="Arial Narrow" w:hAnsi="Arial Narrow" w:cs="Helvetica"/>
          <w:sz w:val="20"/>
          <w:szCs w:val="20"/>
          <w:highlight w:val="yellow"/>
        </w:rPr>
      </w:pPr>
    </w:p>
    <w:p w14:paraId="564AA29B" w14:textId="77777777" w:rsidR="00612AEE" w:rsidRPr="00E73989" w:rsidRDefault="00612AEE" w:rsidP="00612AEE">
      <w:pPr>
        <w:pStyle w:val="ListParagraph"/>
        <w:ind w:left="3686"/>
        <w:jc w:val="right"/>
        <w:rPr>
          <w:rFonts w:ascii="Arial Narrow" w:hAnsi="Arial Narrow" w:cs="Helvetica"/>
          <w:sz w:val="20"/>
          <w:szCs w:val="20"/>
          <w:highlight w:val="yellow"/>
        </w:rPr>
      </w:pPr>
    </w:p>
    <w:p w14:paraId="084CFF89" w14:textId="77777777" w:rsidR="00612AEE" w:rsidRPr="00E73989" w:rsidRDefault="00612AEE" w:rsidP="00612AEE">
      <w:pPr>
        <w:pStyle w:val="ListParagraph"/>
        <w:ind w:left="3686"/>
        <w:jc w:val="right"/>
        <w:rPr>
          <w:rFonts w:ascii="Arial Narrow" w:hAnsi="Arial Narrow" w:cs="Helvetica"/>
          <w:sz w:val="20"/>
          <w:szCs w:val="20"/>
          <w:highlight w:val="yellow"/>
        </w:rPr>
      </w:pPr>
    </w:p>
    <w:p w14:paraId="0CF3DB7A" w14:textId="77777777" w:rsidR="00612AEE" w:rsidRPr="00E73989" w:rsidRDefault="00612AEE" w:rsidP="00612AEE">
      <w:pPr>
        <w:spacing w:after="0"/>
        <w:rPr>
          <w:rFonts w:ascii="Arial Narrow" w:hAnsi="Arial Narrow" w:cs="Helvetica"/>
          <w:b/>
          <w:sz w:val="20"/>
          <w:szCs w:val="20"/>
          <w:highlight w:val="yellow"/>
        </w:rPr>
      </w:pPr>
    </w:p>
    <w:p w14:paraId="02378D59" w14:textId="77777777" w:rsidR="00612AEE" w:rsidRPr="00E73989" w:rsidRDefault="00612AEE" w:rsidP="00612AEE">
      <w:pPr>
        <w:spacing w:after="0"/>
        <w:rPr>
          <w:rFonts w:ascii="Arial Narrow" w:hAnsi="Arial Narrow" w:cs="Helvetica"/>
          <w:b/>
          <w:sz w:val="20"/>
          <w:szCs w:val="20"/>
          <w:highlight w:val="yellow"/>
        </w:rPr>
      </w:pPr>
    </w:p>
    <w:p w14:paraId="28364163" w14:textId="77777777" w:rsidR="00612AEE" w:rsidRPr="00E73989" w:rsidRDefault="00612AEE" w:rsidP="00612AEE">
      <w:pPr>
        <w:spacing w:after="0"/>
        <w:rPr>
          <w:rFonts w:ascii="Arial Narrow" w:hAnsi="Arial Narrow" w:cs="Helvetica"/>
          <w:b/>
          <w:sz w:val="20"/>
          <w:szCs w:val="20"/>
          <w:highlight w:val="yellow"/>
        </w:rPr>
      </w:pPr>
    </w:p>
    <w:p w14:paraId="44773355" w14:textId="77777777" w:rsidR="00612AEE" w:rsidRPr="00E73989" w:rsidRDefault="00612AEE" w:rsidP="00612AEE">
      <w:pPr>
        <w:spacing w:after="0"/>
        <w:rPr>
          <w:rFonts w:ascii="Arial Narrow" w:hAnsi="Arial Narrow" w:cs="Helvetica"/>
          <w:i/>
          <w:sz w:val="20"/>
          <w:szCs w:val="20"/>
          <w:highlight w:val="yellow"/>
        </w:rPr>
      </w:pPr>
    </w:p>
    <w:p w14:paraId="2BF90F7C" w14:textId="77777777" w:rsidR="00612AEE" w:rsidRPr="00E73989" w:rsidRDefault="00612AEE" w:rsidP="00612AEE">
      <w:pPr>
        <w:spacing w:after="0"/>
        <w:rPr>
          <w:rFonts w:ascii="Arial Narrow" w:hAnsi="Arial Narrow" w:cs="Helvetica"/>
          <w:i/>
          <w:sz w:val="20"/>
          <w:szCs w:val="20"/>
          <w:highlight w:val="yellow"/>
        </w:rPr>
      </w:pPr>
    </w:p>
    <w:p w14:paraId="0CD3C617" w14:textId="77777777" w:rsidR="00612AEE" w:rsidRPr="00E73989" w:rsidRDefault="00612AEE" w:rsidP="00612AEE">
      <w:pPr>
        <w:spacing w:after="0"/>
        <w:rPr>
          <w:rFonts w:ascii="Arial Narrow" w:hAnsi="Arial Narrow" w:cs="Helvetica"/>
          <w:i/>
          <w:sz w:val="20"/>
          <w:szCs w:val="20"/>
          <w:highlight w:val="yellow"/>
        </w:rPr>
      </w:pPr>
    </w:p>
    <w:p w14:paraId="3363231E" w14:textId="77777777" w:rsidR="00612AEE" w:rsidRPr="00E73989" w:rsidRDefault="00612AEE" w:rsidP="00612AEE">
      <w:pPr>
        <w:spacing w:after="0"/>
        <w:rPr>
          <w:rFonts w:ascii="Arial Narrow" w:hAnsi="Arial Narrow" w:cs="Helvetica"/>
          <w:i/>
          <w:sz w:val="20"/>
          <w:szCs w:val="20"/>
          <w:highlight w:val="yellow"/>
        </w:rPr>
      </w:pPr>
    </w:p>
    <w:p w14:paraId="7D4709AA" w14:textId="323F072E" w:rsidR="00612AEE" w:rsidRPr="0041422C" w:rsidRDefault="0041422C" w:rsidP="00612AEE">
      <w:pPr>
        <w:spacing w:after="0"/>
        <w:rPr>
          <w:rFonts w:ascii="Helvetica" w:hAnsi="Helvetica" w:cs="Helvetica"/>
          <w:i/>
          <w:sz w:val="16"/>
          <w:szCs w:val="16"/>
        </w:rPr>
      </w:pPr>
      <w:r w:rsidRPr="0041422C">
        <w:rPr>
          <w:rFonts w:ascii="Helvetica" w:hAnsi="Helvetica" w:cs="Helvetica"/>
          <w:i/>
          <w:sz w:val="16"/>
          <w:szCs w:val="16"/>
        </w:rPr>
        <w:t>Source: TradeMap (</w:t>
      </w:r>
      <w:r w:rsidR="00612AEE" w:rsidRPr="0041422C">
        <w:rPr>
          <w:rFonts w:ascii="Helvetica" w:hAnsi="Helvetica" w:cs="Helvetica"/>
          <w:i/>
          <w:sz w:val="16"/>
          <w:szCs w:val="16"/>
        </w:rPr>
        <w:t>2021</w:t>
      </w:r>
      <w:r w:rsidRPr="0041422C">
        <w:rPr>
          <w:rFonts w:ascii="Helvetica" w:hAnsi="Helvetica" w:cs="Helvetica"/>
          <w:i/>
          <w:sz w:val="16"/>
          <w:szCs w:val="16"/>
        </w:rPr>
        <w:t>)</w:t>
      </w:r>
    </w:p>
    <w:p w14:paraId="0975D15C" w14:textId="77777777" w:rsidR="004D5BC0" w:rsidRPr="00E73989" w:rsidRDefault="004D5BC0" w:rsidP="00612AEE">
      <w:pPr>
        <w:spacing w:after="0"/>
        <w:rPr>
          <w:rFonts w:ascii="Helvetica" w:hAnsi="Helvetica" w:cs="Helvetica"/>
          <w:sz w:val="20"/>
          <w:szCs w:val="20"/>
        </w:rPr>
      </w:pPr>
    </w:p>
    <w:p w14:paraId="294AC1CF" w14:textId="1137207D" w:rsidR="00612AEE" w:rsidRPr="0041422C" w:rsidRDefault="004D5BC0" w:rsidP="0041422C">
      <w:pPr>
        <w:pStyle w:val="Heading2"/>
        <w:numPr>
          <w:ilvl w:val="1"/>
          <w:numId w:val="28"/>
        </w:numPr>
        <w:tabs>
          <w:tab w:val="left" w:pos="567"/>
        </w:tabs>
        <w:rPr>
          <w:rFonts w:cs="Helvetica"/>
          <w:bCs/>
          <w:lang w:eastAsia="en-US"/>
        </w:rPr>
      </w:pPr>
      <w:bookmarkStart w:id="13" w:name="_Toc85534927"/>
      <w:bookmarkStart w:id="14" w:name="_Toc87202385"/>
      <w:r w:rsidRPr="0041422C">
        <w:rPr>
          <w:rFonts w:cs="Helvetica"/>
          <w:lang w:eastAsia="en-US"/>
        </w:rPr>
        <w:t>Western Cape’s trade with</w:t>
      </w:r>
      <w:bookmarkEnd w:id="13"/>
      <w:r w:rsidR="0041422C">
        <w:rPr>
          <w:rFonts w:cs="Helvetica"/>
          <w:lang w:eastAsia="en-US"/>
        </w:rPr>
        <w:t xml:space="preserve"> </w:t>
      </w:r>
      <w:r w:rsidRPr="0041422C">
        <w:rPr>
          <w:rFonts w:cs="Helvetica"/>
          <w:lang w:eastAsia="en-US"/>
        </w:rPr>
        <w:t>Ghana</w:t>
      </w:r>
      <w:bookmarkEnd w:id="14"/>
      <w:r w:rsidRPr="0041422C">
        <w:rPr>
          <w:rFonts w:cs="Helvetica"/>
          <w:lang w:eastAsia="en-US"/>
        </w:rPr>
        <w:t xml:space="preserve"> </w:t>
      </w:r>
    </w:p>
    <w:p w14:paraId="33F9F033" w14:textId="0F3302F5" w:rsidR="00612AEE" w:rsidRPr="0041422C" w:rsidRDefault="00612AEE" w:rsidP="00612AEE">
      <w:pPr>
        <w:spacing w:after="0"/>
        <w:jc w:val="both"/>
        <w:rPr>
          <w:rFonts w:ascii="Helvetica" w:eastAsia="Times New Roman" w:hAnsi="Helvetica" w:cs="Helvetica"/>
          <w:sz w:val="20"/>
          <w:szCs w:val="20"/>
        </w:rPr>
      </w:pPr>
      <w:r w:rsidRPr="0041422C">
        <w:rPr>
          <w:rFonts w:ascii="Helvetica" w:eastAsia="Times New Roman" w:hAnsi="Helvetica" w:cs="Helvetica"/>
          <w:sz w:val="20"/>
          <w:szCs w:val="20"/>
        </w:rPr>
        <w:t>Turning to trade between the Western Cape and Ghana, the province has historically recorded a trade deficit for the most part, whereby associated import costs have traditionally outpaced export receipts earned by the Western Cape from associated trade with Ghana. This trend has r</w:t>
      </w:r>
      <w:r w:rsidR="0041422C">
        <w:rPr>
          <w:rFonts w:ascii="Helvetica" w:eastAsia="Times New Roman" w:hAnsi="Helvetica" w:cs="Helvetica"/>
          <w:sz w:val="20"/>
          <w:szCs w:val="20"/>
        </w:rPr>
        <w:t>elaxed between 2015 and 2016, w</w:t>
      </w:r>
      <w:r w:rsidRPr="0041422C">
        <w:rPr>
          <w:rFonts w:ascii="Helvetica" w:eastAsia="Times New Roman" w:hAnsi="Helvetica" w:cs="Helvetica"/>
          <w:sz w:val="20"/>
          <w:szCs w:val="20"/>
        </w:rPr>
        <w:t>here relatively smaller trade surpluses were recorded when compared to trade deficits seen. More specifically, large trade deficits were recorded in the 2013 (ZAR3.33bn) and 2014 (ZAR6.34bn) when compared to trade surplus in 2015 of ZAR776.4m. It is therefore not surprising that average annual growth in exports outstripped export growth, with imports growing at an average annual rate of 1324% when compared to the minuscule 18.08% growth in exports over the period 2011 to 2020.</w:t>
      </w:r>
    </w:p>
    <w:p w14:paraId="1680B1BE" w14:textId="77777777" w:rsidR="00612AEE" w:rsidRPr="00E73989" w:rsidRDefault="00612AEE" w:rsidP="00612AEE">
      <w:pPr>
        <w:spacing w:after="0"/>
        <w:jc w:val="both"/>
        <w:rPr>
          <w:rFonts w:ascii="Helvetica" w:eastAsia="Times New Roman" w:hAnsi="Helvetica" w:cs="Helvetica"/>
          <w:sz w:val="20"/>
          <w:szCs w:val="20"/>
        </w:rPr>
      </w:pPr>
      <w:r w:rsidRPr="00E73989">
        <w:rPr>
          <w:rFonts w:ascii="Arial Narrow" w:eastAsia="Times New Roman" w:hAnsi="Arial Narrow" w:cs="Helvetica"/>
          <w:sz w:val="20"/>
          <w:szCs w:val="20"/>
        </w:rPr>
        <w:t xml:space="preserve"> </w:t>
      </w:r>
    </w:p>
    <w:p w14:paraId="725A8AF7" w14:textId="6AA8B60A" w:rsidR="0041422C" w:rsidRPr="0041422C" w:rsidRDefault="0041422C" w:rsidP="0041422C">
      <w:pPr>
        <w:pStyle w:val="Caption"/>
        <w:keepNext/>
        <w:spacing w:after="0"/>
        <w:rPr>
          <w:rFonts w:ascii="Helvetica" w:hAnsi="Helvetica" w:cs="Helvetica"/>
        </w:rPr>
      </w:pPr>
      <w:r w:rsidRPr="0041422C">
        <w:rPr>
          <w:rFonts w:ascii="Helvetica" w:hAnsi="Helvetica" w:cs="Helvetica"/>
        </w:rPr>
        <w:t xml:space="preserve">Figure </w:t>
      </w:r>
      <w:r w:rsidRPr="0041422C">
        <w:rPr>
          <w:rFonts w:ascii="Helvetica" w:hAnsi="Helvetica" w:cs="Helvetica"/>
        </w:rPr>
        <w:fldChar w:fldCharType="begin"/>
      </w:r>
      <w:r w:rsidRPr="0041422C">
        <w:rPr>
          <w:rFonts w:ascii="Helvetica" w:hAnsi="Helvetica" w:cs="Helvetica"/>
        </w:rPr>
        <w:instrText xml:space="preserve"> SEQ Figure \* ARABIC </w:instrText>
      </w:r>
      <w:r w:rsidRPr="0041422C">
        <w:rPr>
          <w:rFonts w:ascii="Helvetica" w:hAnsi="Helvetica" w:cs="Helvetica"/>
        </w:rPr>
        <w:fldChar w:fldCharType="separate"/>
      </w:r>
      <w:r w:rsidR="003B149F">
        <w:rPr>
          <w:rFonts w:ascii="Helvetica" w:hAnsi="Helvetica" w:cs="Helvetica"/>
          <w:noProof/>
        </w:rPr>
        <w:t>12</w:t>
      </w:r>
      <w:r w:rsidRPr="0041422C">
        <w:rPr>
          <w:rFonts w:ascii="Helvetica" w:hAnsi="Helvetica" w:cs="Helvetica"/>
        </w:rPr>
        <w:fldChar w:fldCharType="end"/>
      </w:r>
      <w:r w:rsidRPr="0041422C">
        <w:rPr>
          <w:rFonts w:ascii="Helvetica" w:hAnsi="Helvetica" w:cs="Helvetica"/>
        </w:rPr>
        <w:t>: Western Cape trade with Ghana, 2011 - 2020</w:t>
      </w:r>
    </w:p>
    <w:p w14:paraId="521B77C2" w14:textId="77777777" w:rsidR="00612AEE" w:rsidRPr="00E73989" w:rsidRDefault="00612AEE" w:rsidP="004D5BC0">
      <w:pPr>
        <w:tabs>
          <w:tab w:val="left" w:pos="567"/>
        </w:tabs>
        <w:spacing w:after="0"/>
        <w:jc w:val="center"/>
        <w:rPr>
          <w:rFonts w:ascii="Arial Narrow" w:hAnsi="Arial Narrow" w:cs="Helvetica"/>
          <w:b/>
          <w:bCs/>
          <w:color w:val="1F497D"/>
          <w:sz w:val="20"/>
          <w:szCs w:val="20"/>
          <w:highlight w:val="yellow"/>
          <w:lang w:eastAsia="en-US"/>
        </w:rPr>
      </w:pPr>
      <w:r w:rsidRPr="00E73989">
        <w:rPr>
          <w:noProof/>
        </w:rPr>
        <w:drawing>
          <wp:inline distT="0" distB="0" distL="0" distR="0" wp14:anchorId="02924DFF" wp14:editId="44AD81AB">
            <wp:extent cx="6107502" cy="228600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CE2C91" w14:textId="0C92AE02" w:rsidR="00612AEE" w:rsidRPr="0041422C" w:rsidRDefault="0041422C" w:rsidP="00612AEE">
      <w:pPr>
        <w:spacing w:after="0"/>
        <w:rPr>
          <w:rFonts w:ascii="Helvetica" w:hAnsi="Helvetica" w:cs="Helvetica"/>
          <w:i/>
          <w:sz w:val="16"/>
          <w:szCs w:val="16"/>
        </w:rPr>
      </w:pPr>
      <w:r>
        <w:rPr>
          <w:rFonts w:ascii="Helvetica" w:hAnsi="Helvetica" w:cs="Helvetica"/>
          <w:i/>
          <w:sz w:val="16"/>
          <w:szCs w:val="16"/>
        </w:rPr>
        <w:t>Source: Quantec (</w:t>
      </w:r>
      <w:r w:rsidR="00612AEE" w:rsidRPr="0041422C">
        <w:rPr>
          <w:rFonts w:ascii="Helvetica" w:hAnsi="Helvetica" w:cs="Helvetica"/>
          <w:i/>
          <w:sz w:val="16"/>
          <w:szCs w:val="16"/>
        </w:rPr>
        <w:t>2021</w:t>
      </w:r>
      <w:r>
        <w:rPr>
          <w:rFonts w:ascii="Helvetica" w:hAnsi="Helvetica" w:cs="Helvetica"/>
          <w:i/>
          <w:sz w:val="16"/>
          <w:szCs w:val="16"/>
        </w:rPr>
        <w:t>)</w:t>
      </w:r>
    </w:p>
    <w:p w14:paraId="3A90570C" w14:textId="77777777" w:rsidR="00612AEE" w:rsidRPr="0041422C" w:rsidRDefault="00612AEE" w:rsidP="00612AEE">
      <w:pPr>
        <w:spacing w:after="0"/>
        <w:jc w:val="both"/>
        <w:rPr>
          <w:rFonts w:ascii="Helvetica" w:hAnsi="Helvetica" w:cs="Helvetica"/>
          <w:i/>
          <w:sz w:val="18"/>
          <w:szCs w:val="18"/>
        </w:rPr>
      </w:pPr>
      <w:r w:rsidRPr="0041422C">
        <w:rPr>
          <w:rFonts w:ascii="Helvetica" w:eastAsia="Times New Roman" w:hAnsi="Helvetica" w:cs="Helvetica"/>
          <w:sz w:val="20"/>
          <w:szCs w:val="20"/>
        </w:rPr>
        <w:lastRenderedPageBreak/>
        <w:t>The Western Cape’s dominant export product</w:t>
      </w:r>
      <w:r w:rsidRPr="0041422C">
        <w:rPr>
          <w:rFonts w:ascii="Helvetica" w:eastAsia="Times New Roman" w:hAnsi="Helvetica" w:cs="Helvetica"/>
          <w:b/>
          <w:i/>
          <w:sz w:val="20"/>
          <w:szCs w:val="20"/>
        </w:rPr>
        <w:t xml:space="preserve"> </w:t>
      </w:r>
      <w:r w:rsidRPr="0041422C">
        <w:rPr>
          <w:rFonts w:ascii="Helvetica" w:eastAsia="Times New Roman" w:hAnsi="Helvetica" w:cs="Helvetica"/>
          <w:sz w:val="20"/>
          <w:szCs w:val="20"/>
        </w:rPr>
        <w:t>to Ghana in 2020 was that of fruit juices and vegetable juices at a value of ZAR105.65m. This was equivalent to 19.47% of all export receipts earned by the Western Cape from trade with Ghana in the year.</w:t>
      </w:r>
      <w:r w:rsidRPr="0041422C">
        <w:rPr>
          <w:rFonts w:ascii="Helvetica" w:hAnsi="Helvetica" w:cs="Helvetica"/>
          <w:sz w:val="20"/>
          <w:szCs w:val="20"/>
        </w:rPr>
        <w:t xml:space="preserve"> </w:t>
      </w:r>
      <w:r w:rsidRPr="0041422C">
        <w:rPr>
          <w:rFonts w:ascii="Helvetica" w:eastAsia="Times New Roman" w:hAnsi="Helvetica" w:cs="Helvetica"/>
          <w:sz w:val="20"/>
          <w:szCs w:val="20"/>
        </w:rPr>
        <w:t xml:space="preserve">Apples, pears and quinces placed second at a value of ZAR103.43m (19.06%), followed by ferrous waste and scrap at ZAR28.88m (5.32%). </w:t>
      </w:r>
      <w:r w:rsidRPr="0041422C">
        <w:rPr>
          <w:rFonts w:ascii="Helvetica" w:hAnsi="Helvetica" w:cs="Helvetica"/>
          <w:sz w:val="20"/>
          <w:szCs w:val="20"/>
        </w:rPr>
        <w:t>The Western Cape’s fastest growing export product categories over the six-year period leading up to and including 2020 were containers designed for carriage (458.09%), chlorides (192.02%) and refined petroleum oils (137.23%).</w:t>
      </w:r>
    </w:p>
    <w:p w14:paraId="4E682CD2" w14:textId="77777777" w:rsidR="00612AEE" w:rsidRPr="0041422C" w:rsidRDefault="00612AEE" w:rsidP="0041422C">
      <w:pPr>
        <w:spacing w:after="0"/>
        <w:rPr>
          <w:rFonts w:ascii="Helvetica" w:eastAsia="Times New Roman" w:hAnsi="Helvetica" w:cs="Helvetica"/>
          <w:sz w:val="20"/>
          <w:szCs w:val="20"/>
          <w:highlight w:val="yellow"/>
        </w:rPr>
      </w:pPr>
    </w:p>
    <w:p w14:paraId="440197AF" w14:textId="1C40AE21" w:rsidR="00A65C79" w:rsidRPr="00A65C79" w:rsidRDefault="00A65C79" w:rsidP="00A65C79">
      <w:pPr>
        <w:pStyle w:val="Caption"/>
        <w:keepNext/>
        <w:spacing w:after="0"/>
        <w:rPr>
          <w:rFonts w:ascii="Helvetica" w:hAnsi="Helvetica" w:cs="Helvetica"/>
        </w:rPr>
      </w:pPr>
      <w:r w:rsidRPr="00A65C79">
        <w:rPr>
          <w:rFonts w:ascii="Helvetica" w:hAnsi="Helvetica" w:cs="Helvetica"/>
        </w:rPr>
        <w:t xml:space="preserve">Figure </w:t>
      </w:r>
      <w:r w:rsidRPr="00A65C79">
        <w:rPr>
          <w:rFonts w:ascii="Helvetica" w:hAnsi="Helvetica" w:cs="Helvetica"/>
        </w:rPr>
        <w:fldChar w:fldCharType="begin"/>
      </w:r>
      <w:r w:rsidRPr="00A65C79">
        <w:rPr>
          <w:rFonts w:ascii="Helvetica" w:hAnsi="Helvetica" w:cs="Helvetica"/>
        </w:rPr>
        <w:instrText xml:space="preserve"> SEQ Figure \* ARABIC </w:instrText>
      </w:r>
      <w:r w:rsidRPr="00A65C79">
        <w:rPr>
          <w:rFonts w:ascii="Helvetica" w:hAnsi="Helvetica" w:cs="Helvetica"/>
        </w:rPr>
        <w:fldChar w:fldCharType="separate"/>
      </w:r>
      <w:r w:rsidR="003B149F">
        <w:rPr>
          <w:rFonts w:ascii="Helvetica" w:hAnsi="Helvetica" w:cs="Helvetica"/>
          <w:noProof/>
        </w:rPr>
        <w:t>13</w:t>
      </w:r>
      <w:r w:rsidRPr="00A65C79">
        <w:rPr>
          <w:rFonts w:ascii="Helvetica" w:hAnsi="Helvetica" w:cs="Helvetica"/>
        </w:rPr>
        <w:fldChar w:fldCharType="end"/>
      </w:r>
      <w:r w:rsidRPr="00A65C79">
        <w:rPr>
          <w:rFonts w:ascii="Helvetica" w:hAnsi="Helvetica" w:cs="Helvetica"/>
        </w:rPr>
        <w:t>: Western Cape top 10 exports to Ghana, 2020</w:t>
      </w:r>
    </w:p>
    <w:p w14:paraId="5A815AF4" w14:textId="77777777" w:rsidR="00612AEE" w:rsidRPr="00E73989" w:rsidRDefault="00612AEE" w:rsidP="00612AEE">
      <w:pPr>
        <w:spacing w:after="0"/>
        <w:rPr>
          <w:rFonts w:ascii="Arial Narrow" w:eastAsia="Times New Roman" w:hAnsi="Arial Narrow" w:cs="Helvetica"/>
          <w:i/>
          <w:sz w:val="18"/>
          <w:szCs w:val="18"/>
        </w:rPr>
      </w:pPr>
      <w:r w:rsidRPr="00E73989">
        <w:rPr>
          <w:rFonts w:ascii="Arial Narrow" w:eastAsia="Times New Roman" w:hAnsi="Arial Narrow" w:cs="Helvetica"/>
          <w:i/>
          <w:noProof/>
          <w:sz w:val="18"/>
          <w:szCs w:val="18"/>
        </w:rPr>
        <w:drawing>
          <wp:inline distT="0" distB="0" distL="0" distR="0" wp14:anchorId="0628FF88" wp14:editId="63F8B567">
            <wp:extent cx="6044414" cy="2475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 exports WC to Ghana.png"/>
                    <pic:cNvPicPr/>
                  </pic:nvPicPr>
                  <pic:blipFill rotWithShape="1">
                    <a:blip r:embed="rId28">
                      <a:extLst>
                        <a:ext uri="{28A0092B-C50C-407E-A947-70E740481C1C}">
                          <a14:useLocalDpi xmlns:a14="http://schemas.microsoft.com/office/drawing/2010/main" val="0"/>
                        </a:ext>
                      </a:extLst>
                    </a:blip>
                    <a:srcRect l="837" t="1678" r="1451" b="2030"/>
                    <a:stretch/>
                  </pic:blipFill>
                  <pic:spPr bwMode="auto">
                    <a:xfrm>
                      <a:off x="0" y="0"/>
                      <a:ext cx="6047114" cy="2476384"/>
                    </a:xfrm>
                    <a:prstGeom prst="rect">
                      <a:avLst/>
                    </a:prstGeom>
                    <a:ln>
                      <a:noFill/>
                    </a:ln>
                    <a:extLst>
                      <a:ext uri="{53640926-AAD7-44D8-BBD7-CCE9431645EC}">
                        <a14:shadowObscured xmlns:a14="http://schemas.microsoft.com/office/drawing/2010/main"/>
                      </a:ext>
                    </a:extLst>
                  </pic:spPr>
                </pic:pic>
              </a:graphicData>
            </a:graphic>
          </wp:inline>
        </w:drawing>
      </w:r>
    </w:p>
    <w:p w14:paraId="2F8B1EE1" w14:textId="5C038186" w:rsidR="00612AEE" w:rsidRPr="00A65C79" w:rsidRDefault="00612AEE" w:rsidP="00612AEE">
      <w:pPr>
        <w:spacing w:after="0"/>
        <w:rPr>
          <w:rFonts w:ascii="Helvetica" w:eastAsia="Times New Roman" w:hAnsi="Helvetica" w:cs="Helvetica"/>
          <w:i/>
          <w:sz w:val="16"/>
          <w:szCs w:val="16"/>
        </w:rPr>
      </w:pPr>
      <w:r w:rsidRPr="00A65C79">
        <w:rPr>
          <w:rFonts w:ascii="Helvetica" w:eastAsia="Times New Roman" w:hAnsi="Helvetica" w:cs="Helvetica"/>
          <w:i/>
          <w:sz w:val="16"/>
          <w:szCs w:val="16"/>
        </w:rPr>
        <w:t>S</w:t>
      </w:r>
      <w:r w:rsidR="00A65C79" w:rsidRPr="00A65C79">
        <w:rPr>
          <w:rFonts w:ascii="Helvetica" w:eastAsia="Times New Roman" w:hAnsi="Helvetica" w:cs="Helvetica"/>
          <w:i/>
          <w:sz w:val="16"/>
          <w:szCs w:val="16"/>
        </w:rPr>
        <w:t>ource: Quantec (</w:t>
      </w:r>
      <w:r w:rsidRPr="00A65C79">
        <w:rPr>
          <w:rFonts w:ascii="Helvetica" w:eastAsia="Times New Roman" w:hAnsi="Helvetica" w:cs="Helvetica"/>
          <w:i/>
          <w:sz w:val="16"/>
          <w:szCs w:val="16"/>
        </w:rPr>
        <w:t>2021</w:t>
      </w:r>
      <w:r w:rsidR="00A65C79" w:rsidRPr="00A65C79">
        <w:rPr>
          <w:rFonts w:ascii="Helvetica" w:eastAsia="Times New Roman" w:hAnsi="Helvetica" w:cs="Helvetica"/>
          <w:i/>
          <w:sz w:val="16"/>
          <w:szCs w:val="16"/>
        </w:rPr>
        <w:t>)</w:t>
      </w:r>
    </w:p>
    <w:p w14:paraId="072C6839" w14:textId="77777777" w:rsidR="00612AEE" w:rsidRPr="00C32B99" w:rsidRDefault="00612AEE" w:rsidP="00612AEE">
      <w:pPr>
        <w:spacing w:after="0"/>
        <w:jc w:val="both"/>
        <w:rPr>
          <w:rFonts w:ascii="Arial Narrow" w:eastAsia="Times New Roman" w:hAnsi="Arial Narrow" w:cs="Helvetica"/>
          <w:sz w:val="20"/>
          <w:szCs w:val="20"/>
          <w:highlight w:val="yellow"/>
        </w:rPr>
      </w:pPr>
    </w:p>
    <w:p w14:paraId="4DA6F4F3" w14:textId="77777777" w:rsidR="00612AEE" w:rsidRPr="00A65C79" w:rsidRDefault="00612AEE" w:rsidP="00612AEE">
      <w:pPr>
        <w:spacing w:after="0"/>
        <w:jc w:val="both"/>
        <w:rPr>
          <w:rFonts w:ascii="Helvetica" w:hAnsi="Helvetica" w:cs="Helvetica"/>
          <w:sz w:val="20"/>
          <w:szCs w:val="20"/>
        </w:rPr>
      </w:pPr>
      <w:r w:rsidRPr="00A65C79">
        <w:rPr>
          <w:rFonts w:ascii="Helvetica" w:eastAsia="Times New Roman" w:hAnsi="Helvetica" w:cs="Helvetica"/>
          <w:sz w:val="20"/>
          <w:szCs w:val="20"/>
        </w:rPr>
        <w:t>In contrast, crude oil significantly dominated products imported by the Western Cape from Ghana in 2020 at a cost of ZAR677.46m. This was equivalent to 98.55% of all import costs incurred by the Western Cape with Ghana in the same year.</w:t>
      </w:r>
      <w:r w:rsidRPr="00A65C79">
        <w:rPr>
          <w:rFonts w:ascii="Helvetica" w:hAnsi="Helvetica" w:cs="Helvetica"/>
          <w:sz w:val="20"/>
          <w:szCs w:val="20"/>
        </w:rPr>
        <w:t xml:space="preserve"> Other large but less significant imports from Ghana were </w:t>
      </w:r>
      <w:r w:rsidRPr="00A65C79">
        <w:rPr>
          <w:rFonts w:ascii="Helvetica" w:eastAsia="Times New Roman" w:hAnsi="Helvetica" w:cs="Helvetica"/>
          <w:sz w:val="20"/>
          <w:szCs w:val="20"/>
        </w:rPr>
        <w:t xml:space="preserve">wood sawn, which placed second at a cost of ZAR3.09m (0.45%), followed by other fixed vegetable fats and oils (ZAR1.36m or 0.2%). </w:t>
      </w:r>
    </w:p>
    <w:p w14:paraId="190FE87E" w14:textId="77777777" w:rsidR="00612AEE" w:rsidRPr="00A65C79" w:rsidRDefault="00612AEE" w:rsidP="00612AEE">
      <w:pPr>
        <w:spacing w:after="0"/>
        <w:jc w:val="both"/>
        <w:rPr>
          <w:rFonts w:ascii="Helvetica" w:eastAsia="Times New Roman" w:hAnsi="Helvetica" w:cs="Helvetica"/>
          <w:sz w:val="20"/>
          <w:szCs w:val="20"/>
          <w:highlight w:val="yellow"/>
        </w:rPr>
      </w:pPr>
    </w:p>
    <w:p w14:paraId="6007A178" w14:textId="76A1C4C6" w:rsidR="00A65C79" w:rsidRPr="00A65C79" w:rsidRDefault="00A65C79" w:rsidP="00A65C79">
      <w:pPr>
        <w:pStyle w:val="Caption"/>
        <w:keepNext/>
        <w:spacing w:after="0"/>
        <w:jc w:val="both"/>
        <w:rPr>
          <w:rFonts w:ascii="Helvetica" w:hAnsi="Helvetica" w:cs="Helvetica"/>
        </w:rPr>
      </w:pPr>
      <w:r w:rsidRPr="00A65C79">
        <w:rPr>
          <w:rFonts w:ascii="Helvetica" w:hAnsi="Helvetica" w:cs="Helvetica"/>
        </w:rPr>
        <w:t xml:space="preserve">Figure </w:t>
      </w:r>
      <w:r w:rsidRPr="00A65C79">
        <w:rPr>
          <w:rFonts w:ascii="Helvetica" w:hAnsi="Helvetica" w:cs="Helvetica"/>
        </w:rPr>
        <w:fldChar w:fldCharType="begin"/>
      </w:r>
      <w:r w:rsidRPr="00A65C79">
        <w:rPr>
          <w:rFonts w:ascii="Helvetica" w:hAnsi="Helvetica" w:cs="Helvetica"/>
        </w:rPr>
        <w:instrText xml:space="preserve"> SEQ Figure \* ARABIC </w:instrText>
      </w:r>
      <w:r w:rsidRPr="00A65C79">
        <w:rPr>
          <w:rFonts w:ascii="Helvetica" w:hAnsi="Helvetica" w:cs="Helvetica"/>
        </w:rPr>
        <w:fldChar w:fldCharType="separate"/>
      </w:r>
      <w:r w:rsidR="003B149F">
        <w:rPr>
          <w:rFonts w:ascii="Helvetica" w:hAnsi="Helvetica" w:cs="Helvetica"/>
          <w:noProof/>
        </w:rPr>
        <w:t>14</w:t>
      </w:r>
      <w:r w:rsidRPr="00A65C79">
        <w:rPr>
          <w:rFonts w:ascii="Helvetica" w:hAnsi="Helvetica" w:cs="Helvetica"/>
        </w:rPr>
        <w:fldChar w:fldCharType="end"/>
      </w:r>
      <w:r w:rsidRPr="00A65C79">
        <w:rPr>
          <w:rFonts w:ascii="Helvetica" w:hAnsi="Helvetica" w:cs="Helvetica"/>
        </w:rPr>
        <w:t>: Western Cape top 10 imports from Ghana, 2020</w:t>
      </w:r>
    </w:p>
    <w:p w14:paraId="2D7203E2" w14:textId="77777777" w:rsidR="00612AEE" w:rsidRPr="00E73989" w:rsidRDefault="00612AEE" w:rsidP="00612AEE">
      <w:pPr>
        <w:spacing w:after="0"/>
        <w:jc w:val="both"/>
        <w:rPr>
          <w:rFonts w:ascii="Arial Narrow" w:eastAsia="Times New Roman" w:hAnsi="Arial Narrow" w:cs="Helvetica"/>
          <w:i/>
          <w:sz w:val="16"/>
          <w:szCs w:val="16"/>
          <w:highlight w:val="yellow"/>
        </w:rPr>
      </w:pPr>
      <w:r w:rsidRPr="00E73989">
        <w:rPr>
          <w:rFonts w:ascii="Arial Narrow" w:eastAsia="Times New Roman" w:hAnsi="Arial Narrow" w:cs="Helvetica"/>
          <w:i/>
          <w:noProof/>
          <w:sz w:val="16"/>
          <w:szCs w:val="16"/>
        </w:rPr>
        <w:drawing>
          <wp:inline distT="0" distB="0" distL="0" distR="0" wp14:anchorId="3BB7DE1A" wp14:editId="3568E826">
            <wp:extent cx="6036178" cy="2700068"/>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p WC imports from Ghana.png"/>
                    <pic:cNvPicPr/>
                  </pic:nvPicPr>
                  <pic:blipFill rotWithShape="1">
                    <a:blip r:embed="rId29">
                      <a:extLst>
                        <a:ext uri="{28A0092B-C50C-407E-A947-70E740481C1C}">
                          <a14:useLocalDpi xmlns:a14="http://schemas.microsoft.com/office/drawing/2010/main" val="0"/>
                        </a:ext>
                      </a:extLst>
                    </a:blip>
                    <a:srcRect l="837" t="1245" r="1590" b="1305"/>
                    <a:stretch/>
                  </pic:blipFill>
                  <pic:spPr bwMode="auto">
                    <a:xfrm>
                      <a:off x="0" y="0"/>
                      <a:ext cx="6038486" cy="2701100"/>
                    </a:xfrm>
                    <a:prstGeom prst="rect">
                      <a:avLst/>
                    </a:prstGeom>
                    <a:ln>
                      <a:noFill/>
                    </a:ln>
                    <a:extLst>
                      <a:ext uri="{53640926-AAD7-44D8-BBD7-CCE9431645EC}">
                        <a14:shadowObscured xmlns:a14="http://schemas.microsoft.com/office/drawing/2010/main"/>
                      </a:ext>
                    </a:extLst>
                  </pic:spPr>
                </pic:pic>
              </a:graphicData>
            </a:graphic>
          </wp:inline>
        </w:drawing>
      </w:r>
    </w:p>
    <w:p w14:paraId="0A0BC534" w14:textId="29344DC3" w:rsidR="00612AEE" w:rsidRPr="00A65C79" w:rsidRDefault="00612AEE" w:rsidP="00612AEE">
      <w:pPr>
        <w:spacing w:after="0"/>
        <w:jc w:val="both"/>
        <w:rPr>
          <w:rFonts w:ascii="Arial Narrow" w:hAnsi="Arial Narrow" w:cs="Helvetica"/>
          <w:sz w:val="16"/>
          <w:szCs w:val="16"/>
        </w:rPr>
      </w:pPr>
      <w:r w:rsidRPr="00A65C79">
        <w:rPr>
          <w:rFonts w:ascii="Arial Narrow" w:eastAsia="Times New Roman" w:hAnsi="Arial Narrow" w:cs="Helvetica"/>
          <w:i/>
          <w:sz w:val="16"/>
          <w:szCs w:val="16"/>
        </w:rPr>
        <w:t>Source</w:t>
      </w:r>
      <w:r w:rsidR="00A65C79">
        <w:rPr>
          <w:rFonts w:ascii="Arial Narrow" w:eastAsia="Times New Roman" w:hAnsi="Arial Narrow" w:cs="Helvetica"/>
          <w:i/>
          <w:sz w:val="16"/>
          <w:szCs w:val="16"/>
        </w:rPr>
        <w:t>: Quantec (</w:t>
      </w:r>
      <w:r w:rsidRPr="00A65C79">
        <w:rPr>
          <w:rFonts w:ascii="Arial Narrow" w:eastAsia="Times New Roman" w:hAnsi="Arial Narrow" w:cs="Helvetica"/>
          <w:i/>
          <w:sz w:val="16"/>
          <w:szCs w:val="16"/>
        </w:rPr>
        <w:t>2021</w:t>
      </w:r>
      <w:r w:rsidR="00A65C79">
        <w:rPr>
          <w:rFonts w:ascii="Arial Narrow" w:eastAsia="Times New Roman" w:hAnsi="Arial Narrow" w:cs="Helvetica"/>
          <w:i/>
          <w:sz w:val="16"/>
          <w:szCs w:val="16"/>
        </w:rPr>
        <w:t>)</w:t>
      </w:r>
    </w:p>
    <w:p w14:paraId="252DE5FC" w14:textId="77777777" w:rsidR="00612AEE" w:rsidRPr="00A65C79" w:rsidRDefault="00612AEE" w:rsidP="00612AEE">
      <w:pPr>
        <w:spacing w:after="0"/>
        <w:jc w:val="both"/>
        <w:rPr>
          <w:rFonts w:ascii="Helvetica" w:eastAsia="Times New Roman" w:hAnsi="Helvetica" w:cs="Helvetica"/>
          <w:sz w:val="20"/>
          <w:szCs w:val="20"/>
        </w:rPr>
      </w:pPr>
    </w:p>
    <w:p w14:paraId="6CDCC88A" w14:textId="77777777" w:rsidR="00612AEE" w:rsidRPr="00A65C79" w:rsidRDefault="00612AEE" w:rsidP="00612AEE">
      <w:pPr>
        <w:spacing w:after="0"/>
        <w:jc w:val="both"/>
        <w:rPr>
          <w:rFonts w:ascii="Helvetica" w:eastAsia="Times New Roman" w:hAnsi="Helvetica" w:cs="Helvetica"/>
          <w:sz w:val="16"/>
          <w:szCs w:val="16"/>
        </w:rPr>
      </w:pPr>
      <w:r w:rsidRPr="00A65C79">
        <w:rPr>
          <w:rFonts w:ascii="Helvetica" w:eastAsia="Times New Roman" w:hAnsi="Helvetica" w:cs="Helvetica"/>
          <w:sz w:val="20"/>
          <w:szCs w:val="20"/>
        </w:rPr>
        <w:t xml:space="preserve">Trade between the Western Cape and Ghana is relatively well diversified. The two diagrams below are reflective of this and provide an overview of key trade flows between the Western Cape and Ghana on a </w:t>
      </w:r>
      <w:r w:rsidRPr="00A65C79">
        <w:rPr>
          <w:rFonts w:ascii="Helvetica" w:eastAsia="Times New Roman" w:hAnsi="Helvetica" w:cs="Helvetica"/>
          <w:i/>
          <w:iCs/>
          <w:sz w:val="20"/>
          <w:szCs w:val="20"/>
        </w:rPr>
        <w:t>sector level</w:t>
      </w:r>
      <w:r w:rsidRPr="00A65C79">
        <w:rPr>
          <w:rFonts w:ascii="Helvetica" w:eastAsia="Times New Roman" w:hAnsi="Helvetica" w:cs="Helvetica"/>
          <w:sz w:val="20"/>
          <w:szCs w:val="20"/>
        </w:rPr>
        <w:t xml:space="preserve">. As indicated in the graphs below, the food, beverages and tobacco sector were the Western Cape’s top sector in terms of export receipts earned from trade with Ghana in 2020, accounting for 34.58% of export earnings. This was closely followed by exports from the  agriculture, forestry and fishing sector, which placed </w:t>
      </w:r>
      <w:r w:rsidRPr="00A65C79">
        <w:rPr>
          <w:rFonts w:ascii="Helvetica" w:eastAsia="Times New Roman" w:hAnsi="Helvetica" w:cs="Helvetica"/>
          <w:sz w:val="20"/>
          <w:szCs w:val="20"/>
        </w:rPr>
        <w:lastRenderedPageBreak/>
        <w:t>second and accounted for 22.83% of all Western Cape’s export receipts to Ghana, while the metals sector accounted for 12.21% in third position in 2020.</w:t>
      </w:r>
    </w:p>
    <w:p w14:paraId="6D0647B9" w14:textId="77777777" w:rsidR="00612AEE" w:rsidRPr="00A65C79" w:rsidRDefault="00612AEE" w:rsidP="00612AEE">
      <w:pPr>
        <w:spacing w:after="0"/>
        <w:jc w:val="both"/>
        <w:rPr>
          <w:rFonts w:ascii="Helvetica" w:eastAsia="Times New Roman" w:hAnsi="Helvetica" w:cs="Helvetica"/>
          <w:b/>
          <w:bCs/>
          <w:sz w:val="20"/>
          <w:szCs w:val="20"/>
          <w:highlight w:val="yellow"/>
        </w:rPr>
      </w:pPr>
    </w:p>
    <w:p w14:paraId="354BCC9F" w14:textId="5DF5DBCB" w:rsidR="00A65C79" w:rsidRPr="00A65C79" w:rsidRDefault="00A65C79" w:rsidP="00A65C79">
      <w:pPr>
        <w:pStyle w:val="Caption"/>
        <w:keepNext/>
        <w:spacing w:after="0"/>
        <w:rPr>
          <w:rFonts w:ascii="Helvetica" w:hAnsi="Helvetica" w:cs="Helvetica"/>
        </w:rPr>
      </w:pPr>
      <w:r w:rsidRPr="00A65C79">
        <w:rPr>
          <w:rFonts w:ascii="Helvetica" w:hAnsi="Helvetica" w:cs="Helvetica"/>
        </w:rPr>
        <w:t xml:space="preserve">Figure </w:t>
      </w:r>
      <w:r w:rsidRPr="00A65C79">
        <w:rPr>
          <w:rFonts w:ascii="Helvetica" w:hAnsi="Helvetica" w:cs="Helvetica"/>
        </w:rPr>
        <w:fldChar w:fldCharType="begin"/>
      </w:r>
      <w:r w:rsidRPr="00A65C79">
        <w:rPr>
          <w:rFonts w:ascii="Helvetica" w:hAnsi="Helvetica" w:cs="Helvetica"/>
        </w:rPr>
        <w:instrText xml:space="preserve"> SEQ Figure \* ARABIC </w:instrText>
      </w:r>
      <w:r w:rsidRPr="00A65C79">
        <w:rPr>
          <w:rFonts w:ascii="Helvetica" w:hAnsi="Helvetica" w:cs="Helvetica"/>
        </w:rPr>
        <w:fldChar w:fldCharType="separate"/>
      </w:r>
      <w:r w:rsidR="003B149F">
        <w:rPr>
          <w:rFonts w:ascii="Helvetica" w:hAnsi="Helvetica" w:cs="Helvetica"/>
          <w:noProof/>
        </w:rPr>
        <w:t>15</w:t>
      </w:r>
      <w:r w:rsidRPr="00A65C79">
        <w:rPr>
          <w:rFonts w:ascii="Helvetica" w:hAnsi="Helvetica" w:cs="Helvetica"/>
        </w:rPr>
        <w:fldChar w:fldCharType="end"/>
      </w:r>
      <w:r w:rsidRPr="00A65C79">
        <w:rPr>
          <w:rFonts w:ascii="Helvetica" w:hAnsi="Helvetica" w:cs="Helvetica"/>
        </w:rPr>
        <w:t>: Top Western Cape export sectors to Ghana (% share), 2020</w:t>
      </w:r>
    </w:p>
    <w:p w14:paraId="1883E39D" w14:textId="666F7243" w:rsidR="00612AEE" w:rsidRPr="00A65C79" w:rsidRDefault="00612AEE" w:rsidP="00A65C79">
      <w:pPr>
        <w:spacing w:after="0"/>
        <w:rPr>
          <w:rFonts w:ascii="Arial Narrow" w:eastAsia="Times New Roman" w:hAnsi="Arial Narrow" w:cs="Helvetica"/>
          <w:sz w:val="16"/>
          <w:szCs w:val="16"/>
          <w:highlight w:val="yellow"/>
        </w:rPr>
      </w:pPr>
      <w:r w:rsidRPr="00E73989">
        <w:rPr>
          <w:noProof/>
        </w:rPr>
        <w:drawing>
          <wp:inline distT="0" distB="0" distL="0" distR="0" wp14:anchorId="2DB116E3" wp14:editId="4B3C69CC">
            <wp:extent cx="6089650" cy="2542540"/>
            <wp:effectExtent l="0" t="0" r="635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8144B8" w:rsidRPr="00C32B99">
        <w:rPr>
          <w:rFonts w:ascii="Helvetica" w:eastAsia="Times New Roman" w:hAnsi="Helvetica" w:cs="Helvetica"/>
          <w:i/>
          <w:sz w:val="16"/>
          <w:szCs w:val="16"/>
        </w:rPr>
        <w:t>Source: Quantec (</w:t>
      </w:r>
      <w:r w:rsidRPr="00C32B99">
        <w:rPr>
          <w:rFonts w:ascii="Helvetica" w:eastAsia="Times New Roman" w:hAnsi="Helvetica" w:cs="Helvetica"/>
          <w:i/>
          <w:sz w:val="16"/>
          <w:szCs w:val="16"/>
        </w:rPr>
        <w:t>2021</w:t>
      </w:r>
      <w:r w:rsidR="008144B8" w:rsidRPr="00C32B99">
        <w:rPr>
          <w:rFonts w:ascii="Helvetica" w:eastAsia="Times New Roman" w:hAnsi="Helvetica" w:cs="Helvetica"/>
          <w:i/>
          <w:sz w:val="16"/>
          <w:szCs w:val="16"/>
        </w:rPr>
        <w:t>)</w:t>
      </w:r>
    </w:p>
    <w:p w14:paraId="16BFC1D9" w14:textId="77777777" w:rsidR="00612AEE" w:rsidRPr="00C32B99" w:rsidRDefault="00612AEE" w:rsidP="00C32B99">
      <w:pPr>
        <w:spacing w:after="0"/>
        <w:jc w:val="both"/>
        <w:rPr>
          <w:rFonts w:ascii="Helvetica" w:eastAsia="Times New Roman" w:hAnsi="Helvetica" w:cs="Helvetica"/>
          <w:sz w:val="20"/>
          <w:szCs w:val="20"/>
        </w:rPr>
      </w:pPr>
    </w:p>
    <w:p w14:paraId="557C6411" w14:textId="77777777" w:rsidR="00612AEE" w:rsidRPr="00C32B99" w:rsidRDefault="00612AEE" w:rsidP="00612AEE">
      <w:pPr>
        <w:spacing w:after="0"/>
        <w:jc w:val="both"/>
        <w:rPr>
          <w:rFonts w:ascii="Helvetica" w:eastAsia="Times New Roman" w:hAnsi="Helvetica" w:cs="Helvetica"/>
          <w:sz w:val="20"/>
          <w:szCs w:val="20"/>
        </w:rPr>
      </w:pPr>
      <w:r w:rsidRPr="00C32B99">
        <w:rPr>
          <w:rFonts w:ascii="Helvetica" w:eastAsia="Times New Roman" w:hAnsi="Helvetica" w:cs="Helvetica"/>
          <w:sz w:val="20"/>
          <w:szCs w:val="20"/>
        </w:rPr>
        <w:t>In contrast, the Western Cape’s top import sectors (ranked by associated cost) with Ghana last year revealed that the mining and quarrying sector dominated imports from Ghana, accounting for 98.55% of all import costs incurred in 2020. Other large but less significant importing sectors were the wood and paper industry (0.47%) in second place; food, beverage and tobacco sector (0.28%) in third, while the metals industry (0.21%) and the petroleum products industry (0.16%) ranked in fourth and fifth place in 2020.</w:t>
      </w:r>
    </w:p>
    <w:p w14:paraId="2017CFE5" w14:textId="77777777" w:rsidR="00612AEE" w:rsidRPr="00C32B99" w:rsidRDefault="00612AEE" w:rsidP="00C32B99">
      <w:pPr>
        <w:spacing w:after="0"/>
        <w:jc w:val="both"/>
        <w:rPr>
          <w:rFonts w:ascii="Helvetica" w:eastAsia="Times New Roman" w:hAnsi="Helvetica" w:cs="Helvetica"/>
          <w:sz w:val="20"/>
          <w:szCs w:val="20"/>
        </w:rPr>
      </w:pPr>
    </w:p>
    <w:p w14:paraId="32175617" w14:textId="3380A6FE" w:rsidR="00612AEE" w:rsidRPr="00E73989" w:rsidRDefault="00612AEE" w:rsidP="00080BAF">
      <w:pPr>
        <w:spacing w:after="0"/>
        <w:rPr>
          <w:rFonts w:ascii="Arial Narrow" w:eastAsia="Times New Roman" w:hAnsi="Arial Narrow" w:cs="Helvetica"/>
          <w:i/>
          <w:sz w:val="20"/>
          <w:szCs w:val="20"/>
        </w:rPr>
      </w:pPr>
      <w:r w:rsidRPr="00E73989">
        <w:rPr>
          <w:noProof/>
        </w:rPr>
        <w:drawing>
          <wp:inline distT="0" distB="0" distL="0" distR="0" wp14:anchorId="7544C60F" wp14:editId="491E5DCF">
            <wp:extent cx="6090250" cy="2743200"/>
            <wp:effectExtent l="0" t="0" r="63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080BAF">
        <w:rPr>
          <w:rFonts w:ascii="Helvetica" w:eastAsia="Times New Roman" w:hAnsi="Helvetica" w:cs="Helvetica"/>
          <w:i/>
          <w:sz w:val="16"/>
          <w:szCs w:val="16"/>
        </w:rPr>
        <w:t xml:space="preserve">Source: Quantec </w:t>
      </w:r>
      <w:r w:rsidR="00080BAF" w:rsidRPr="00080BAF">
        <w:rPr>
          <w:rFonts w:ascii="Helvetica" w:eastAsia="Times New Roman" w:hAnsi="Helvetica" w:cs="Helvetica"/>
          <w:i/>
          <w:sz w:val="16"/>
          <w:szCs w:val="16"/>
        </w:rPr>
        <w:t>(</w:t>
      </w:r>
      <w:r w:rsidRPr="00080BAF">
        <w:rPr>
          <w:rFonts w:ascii="Helvetica" w:eastAsia="Times New Roman" w:hAnsi="Helvetica" w:cs="Helvetica"/>
          <w:i/>
          <w:sz w:val="16"/>
          <w:szCs w:val="16"/>
        </w:rPr>
        <w:t>2021</w:t>
      </w:r>
      <w:r w:rsidR="00080BAF" w:rsidRPr="00080BAF">
        <w:rPr>
          <w:rFonts w:ascii="Helvetica" w:eastAsia="Times New Roman" w:hAnsi="Helvetica" w:cs="Helvetica"/>
          <w:i/>
          <w:sz w:val="16"/>
          <w:szCs w:val="16"/>
        </w:rPr>
        <w:t>)</w:t>
      </w:r>
      <w:r w:rsidRPr="00E73989">
        <w:rPr>
          <w:rFonts w:ascii="Arial Narrow" w:eastAsia="Times New Roman" w:hAnsi="Arial Narrow" w:cs="Helvetica"/>
          <w:i/>
          <w:sz w:val="20"/>
          <w:szCs w:val="20"/>
        </w:rPr>
        <w:br w:type="page"/>
      </w:r>
    </w:p>
    <w:p w14:paraId="444E78E3" w14:textId="62FA096D" w:rsidR="00612AEE" w:rsidRDefault="004D5BC0" w:rsidP="004D5BC0">
      <w:pPr>
        <w:pStyle w:val="Heading2"/>
        <w:numPr>
          <w:ilvl w:val="1"/>
          <w:numId w:val="28"/>
        </w:numPr>
        <w:ind w:left="426" w:hanging="426"/>
      </w:pPr>
      <w:bookmarkStart w:id="15" w:name="_Toc35258864"/>
      <w:bookmarkStart w:id="16" w:name="_Toc85534928"/>
      <w:bookmarkStart w:id="17" w:name="_Toc87202386"/>
      <w:r w:rsidRPr="00E73989">
        <w:lastRenderedPageBreak/>
        <w:t>C</w:t>
      </w:r>
      <w:bookmarkEnd w:id="15"/>
      <w:r w:rsidRPr="00E73989">
        <w:t>ustoms, regulations and standards</w:t>
      </w:r>
      <w:bookmarkEnd w:id="16"/>
      <w:bookmarkEnd w:id="17"/>
    </w:p>
    <w:p w14:paraId="2D489050" w14:textId="77777777" w:rsidR="00D02906" w:rsidRPr="00D02906" w:rsidRDefault="00D02906" w:rsidP="00D02906">
      <w:pPr>
        <w:pStyle w:val="Heading2"/>
        <w:numPr>
          <w:ilvl w:val="0"/>
          <w:numId w:val="0"/>
        </w:numPr>
        <w:rPr>
          <w:b w:val="0"/>
          <w:sz w:val="20"/>
          <w:szCs w:val="20"/>
        </w:rPr>
      </w:pPr>
    </w:p>
    <w:p w14:paraId="11806FB7" w14:textId="77777777" w:rsidR="00612AEE" w:rsidRPr="00E73989" w:rsidRDefault="00612AEE" w:rsidP="00D02906">
      <w:pPr>
        <w:spacing w:after="0"/>
        <w:jc w:val="both"/>
        <w:rPr>
          <w:rFonts w:ascii="Helvetica" w:hAnsi="Helvetica" w:cs="Helvetica"/>
          <w:b/>
          <w:bCs/>
          <w:color w:val="000000"/>
          <w:sz w:val="20"/>
          <w:szCs w:val="20"/>
        </w:rPr>
      </w:pPr>
      <w:r w:rsidRPr="00E73989">
        <w:rPr>
          <w:rFonts w:ascii="Helvetica" w:hAnsi="Helvetica" w:cs="Helvetica"/>
          <w:b/>
          <w:bCs/>
          <w:color w:val="000000"/>
          <w:sz w:val="20"/>
          <w:szCs w:val="20"/>
        </w:rPr>
        <w:t>Import tariffs</w:t>
      </w:r>
    </w:p>
    <w:p w14:paraId="074A6B64" w14:textId="77777777" w:rsidR="00612AEE" w:rsidRPr="00E73989" w:rsidRDefault="00612AEE" w:rsidP="00612AEE">
      <w:pPr>
        <w:pStyle w:val="ListParagraph"/>
        <w:numPr>
          <w:ilvl w:val="0"/>
          <w:numId w:val="21"/>
        </w:numPr>
        <w:jc w:val="both"/>
        <w:rPr>
          <w:rFonts w:ascii="Helvetica" w:hAnsi="Helvetica" w:cs="Helvetica"/>
          <w:color w:val="000000"/>
          <w:sz w:val="20"/>
          <w:szCs w:val="20"/>
        </w:rPr>
      </w:pPr>
      <w:r w:rsidRPr="00E73989">
        <w:rPr>
          <w:rFonts w:ascii="Helvetica" w:hAnsi="Helvetica" w:cs="Helvetica"/>
          <w:color w:val="000000"/>
          <w:sz w:val="20"/>
          <w:szCs w:val="20"/>
        </w:rPr>
        <w:t xml:space="preserve">Ghana currently uses the Harmonized System (HS) Customs Code to classify goods. </w:t>
      </w:r>
    </w:p>
    <w:p w14:paraId="4D069FBD" w14:textId="77777777" w:rsidR="00612AEE" w:rsidRPr="00E73989" w:rsidRDefault="00612AEE" w:rsidP="00612AEE">
      <w:pPr>
        <w:pStyle w:val="ListParagraph"/>
        <w:numPr>
          <w:ilvl w:val="0"/>
          <w:numId w:val="21"/>
        </w:numPr>
        <w:jc w:val="both"/>
        <w:rPr>
          <w:rFonts w:ascii="Helvetica" w:hAnsi="Helvetica" w:cs="Helvetica"/>
          <w:color w:val="000000"/>
          <w:sz w:val="20"/>
          <w:szCs w:val="20"/>
        </w:rPr>
      </w:pPr>
      <w:r w:rsidRPr="00E73989">
        <w:rPr>
          <w:rFonts w:ascii="Helvetica" w:hAnsi="Helvetica" w:cs="Helvetica"/>
          <w:color w:val="000000"/>
          <w:sz w:val="20"/>
          <w:szCs w:val="20"/>
        </w:rPr>
        <w:t xml:space="preserve">Taxes that are assessed based on weight, value or volume are subject to change annually. Goods arriving in the country may be subject to import duty, Value Added Tax (VAT), special tax and import excise duty. </w:t>
      </w:r>
    </w:p>
    <w:p w14:paraId="122AE949" w14:textId="77777777" w:rsidR="00612AEE" w:rsidRPr="00E73989" w:rsidRDefault="00612AEE" w:rsidP="00612AEE">
      <w:pPr>
        <w:pStyle w:val="ListParagraph"/>
        <w:numPr>
          <w:ilvl w:val="0"/>
          <w:numId w:val="21"/>
        </w:numPr>
        <w:jc w:val="both"/>
        <w:rPr>
          <w:rFonts w:ascii="Helvetica" w:hAnsi="Helvetica" w:cs="Helvetica"/>
          <w:color w:val="000000"/>
          <w:sz w:val="20"/>
          <w:szCs w:val="20"/>
        </w:rPr>
      </w:pPr>
      <w:r w:rsidRPr="00E73989">
        <w:rPr>
          <w:rFonts w:ascii="Helvetica" w:hAnsi="Helvetica" w:cs="Helvetica"/>
          <w:color w:val="000000"/>
          <w:sz w:val="20"/>
          <w:szCs w:val="20"/>
        </w:rPr>
        <w:t>Duties are imposed on certain categories of exports also.</w:t>
      </w:r>
    </w:p>
    <w:p w14:paraId="13443DE9" w14:textId="48B09802" w:rsidR="00612AEE" w:rsidRPr="009900CB" w:rsidRDefault="00612AEE" w:rsidP="009900CB">
      <w:pPr>
        <w:pStyle w:val="ListParagraph"/>
        <w:numPr>
          <w:ilvl w:val="0"/>
          <w:numId w:val="21"/>
        </w:numPr>
        <w:spacing w:after="0"/>
        <w:jc w:val="both"/>
        <w:rPr>
          <w:rFonts w:ascii="Helvetica" w:hAnsi="Helvetica" w:cs="Helvetica"/>
          <w:sz w:val="20"/>
          <w:szCs w:val="20"/>
        </w:rPr>
      </w:pPr>
      <w:r w:rsidRPr="00E73989">
        <w:rPr>
          <w:rFonts w:ascii="Helvetica" w:hAnsi="Helvetica" w:cs="Helvetica"/>
          <w:color w:val="000000"/>
          <w:sz w:val="20"/>
          <w:szCs w:val="20"/>
        </w:rPr>
        <w:t>Aside from a few items that are exempt from the payment of customs duty, all imports are subject to import duty plus VAT. VAT is calculated on the duty-inclusive value of the goods at rates contained in the HS manual. The extractive industries have sector specific exemptions and duties.</w:t>
      </w:r>
    </w:p>
    <w:p w14:paraId="39C46C34" w14:textId="77777777" w:rsidR="009900CB" w:rsidRPr="009900CB" w:rsidRDefault="009900CB" w:rsidP="009900CB">
      <w:pPr>
        <w:spacing w:after="0"/>
        <w:jc w:val="both"/>
        <w:rPr>
          <w:rFonts w:ascii="Helvetica" w:hAnsi="Helvetica" w:cs="Helvetica"/>
          <w:sz w:val="20"/>
          <w:szCs w:val="20"/>
        </w:rPr>
      </w:pPr>
    </w:p>
    <w:p w14:paraId="3C07C373" w14:textId="77777777" w:rsidR="00612AEE" w:rsidRPr="00E73989" w:rsidRDefault="00612AEE" w:rsidP="009900CB">
      <w:pPr>
        <w:spacing w:after="0"/>
        <w:jc w:val="both"/>
        <w:rPr>
          <w:rFonts w:ascii="Helvetica" w:hAnsi="Helvetica" w:cs="Helvetica"/>
          <w:b/>
          <w:bCs/>
          <w:sz w:val="20"/>
          <w:szCs w:val="20"/>
        </w:rPr>
      </w:pPr>
      <w:r w:rsidRPr="00E73989">
        <w:rPr>
          <w:rFonts w:ascii="Helvetica" w:hAnsi="Helvetica" w:cs="Helvetica"/>
          <w:b/>
          <w:bCs/>
          <w:sz w:val="20"/>
          <w:szCs w:val="20"/>
        </w:rPr>
        <w:t xml:space="preserve">Labelling/marking requirements </w:t>
      </w:r>
    </w:p>
    <w:p w14:paraId="10E1E846" w14:textId="77777777" w:rsidR="00612AEE" w:rsidRPr="00E73989" w:rsidRDefault="00612AEE" w:rsidP="00612AEE">
      <w:pPr>
        <w:jc w:val="both"/>
        <w:rPr>
          <w:rFonts w:ascii="Helvetica" w:hAnsi="Helvetica" w:cs="Helvetica"/>
          <w:sz w:val="20"/>
          <w:szCs w:val="20"/>
        </w:rPr>
      </w:pPr>
      <w:r w:rsidRPr="00E73989">
        <w:rPr>
          <w:rFonts w:ascii="Helvetica" w:hAnsi="Helvetica" w:cs="Helvetica"/>
          <w:sz w:val="20"/>
          <w:szCs w:val="20"/>
        </w:rPr>
        <w:t>Under Ghana’s General Labelling Rule, all products imported or produced locally should bear the following, in English:</w:t>
      </w:r>
    </w:p>
    <w:p w14:paraId="45988292" w14:textId="77777777" w:rsidR="00612AEE" w:rsidRPr="00E73989" w:rsidRDefault="00612AEE" w:rsidP="00612AEE">
      <w:pPr>
        <w:pStyle w:val="ListParagraph"/>
        <w:numPr>
          <w:ilvl w:val="0"/>
          <w:numId w:val="22"/>
        </w:numPr>
        <w:jc w:val="both"/>
        <w:rPr>
          <w:rFonts w:ascii="Helvetica" w:hAnsi="Helvetica" w:cs="Helvetica"/>
          <w:sz w:val="20"/>
          <w:szCs w:val="20"/>
        </w:rPr>
      </w:pPr>
      <w:r w:rsidRPr="00E73989">
        <w:rPr>
          <w:rFonts w:ascii="Helvetica" w:hAnsi="Helvetica" w:cs="Helvetica"/>
          <w:sz w:val="20"/>
          <w:szCs w:val="20"/>
        </w:rPr>
        <w:t>Name of product.</w:t>
      </w:r>
    </w:p>
    <w:p w14:paraId="06D5FD46" w14:textId="77777777" w:rsidR="00612AEE" w:rsidRPr="00E73989" w:rsidRDefault="00612AEE" w:rsidP="00612AEE">
      <w:pPr>
        <w:pStyle w:val="ListParagraph"/>
        <w:numPr>
          <w:ilvl w:val="0"/>
          <w:numId w:val="22"/>
        </w:numPr>
        <w:jc w:val="both"/>
        <w:rPr>
          <w:rFonts w:ascii="Helvetica" w:hAnsi="Helvetica" w:cs="Helvetica"/>
          <w:sz w:val="20"/>
          <w:szCs w:val="20"/>
        </w:rPr>
      </w:pPr>
      <w:r w:rsidRPr="00E73989">
        <w:rPr>
          <w:rFonts w:ascii="Helvetica" w:hAnsi="Helvetica" w:cs="Helvetica"/>
          <w:sz w:val="20"/>
          <w:szCs w:val="20"/>
        </w:rPr>
        <w:t>Net mass or weight or net volume of content.</w:t>
      </w:r>
    </w:p>
    <w:p w14:paraId="5A621EED" w14:textId="77777777" w:rsidR="00612AEE" w:rsidRPr="00E73989" w:rsidRDefault="00612AEE" w:rsidP="00612AEE">
      <w:pPr>
        <w:pStyle w:val="ListParagraph"/>
        <w:numPr>
          <w:ilvl w:val="0"/>
          <w:numId w:val="22"/>
        </w:numPr>
        <w:jc w:val="both"/>
        <w:rPr>
          <w:rFonts w:ascii="Helvetica" w:hAnsi="Helvetica" w:cs="Helvetica"/>
          <w:sz w:val="20"/>
          <w:szCs w:val="20"/>
        </w:rPr>
      </w:pPr>
      <w:r w:rsidRPr="00E73989">
        <w:rPr>
          <w:rFonts w:ascii="Helvetica" w:hAnsi="Helvetica" w:cs="Helvetica"/>
          <w:sz w:val="20"/>
          <w:szCs w:val="20"/>
        </w:rPr>
        <w:t>Composition of content of product.</w:t>
      </w:r>
    </w:p>
    <w:p w14:paraId="0149424B" w14:textId="77777777" w:rsidR="00612AEE" w:rsidRPr="00E73989" w:rsidRDefault="00612AEE" w:rsidP="00612AEE">
      <w:pPr>
        <w:pStyle w:val="ListParagraph"/>
        <w:numPr>
          <w:ilvl w:val="0"/>
          <w:numId w:val="22"/>
        </w:numPr>
        <w:jc w:val="both"/>
        <w:rPr>
          <w:rFonts w:ascii="Helvetica" w:hAnsi="Helvetica" w:cs="Helvetica"/>
          <w:sz w:val="20"/>
          <w:szCs w:val="20"/>
        </w:rPr>
      </w:pPr>
      <w:r w:rsidRPr="00E73989">
        <w:rPr>
          <w:rFonts w:ascii="Helvetica" w:hAnsi="Helvetica" w:cs="Helvetica"/>
          <w:sz w:val="20"/>
          <w:szCs w:val="20"/>
        </w:rPr>
        <w:t>Date of manufacture of product.</w:t>
      </w:r>
    </w:p>
    <w:p w14:paraId="7280E2B4" w14:textId="77777777" w:rsidR="00612AEE" w:rsidRPr="00E73989" w:rsidRDefault="00612AEE" w:rsidP="00612AEE">
      <w:pPr>
        <w:pStyle w:val="ListParagraph"/>
        <w:numPr>
          <w:ilvl w:val="0"/>
          <w:numId w:val="22"/>
        </w:numPr>
        <w:jc w:val="both"/>
        <w:rPr>
          <w:rFonts w:ascii="Helvetica" w:hAnsi="Helvetica" w:cs="Helvetica"/>
          <w:sz w:val="20"/>
          <w:szCs w:val="20"/>
        </w:rPr>
      </w:pPr>
      <w:r w:rsidRPr="00E73989">
        <w:rPr>
          <w:rFonts w:ascii="Helvetica" w:hAnsi="Helvetica" w:cs="Helvetica"/>
          <w:sz w:val="20"/>
          <w:szCs w:val="20"/>
        </w:rPr>
        <w:t>Date of expiry of product (or best before date).</w:t>
      </w:r>
    </w:p>
    <w:p w14:paraId="5585FAB8" w14:textId="77777777" w:rsidR="00612AEE" w:rsidRPr="00E73989" w:rsidRDefault="00612AEE" w:rsidP="00612AEE">
      <w:pPr>
        <w:pStyle w:val="ListParagraph"/>
        <w:numPr>
          <w:ilvl w:val="0"/>
          <w:numId w:val="22"/>
        </w:numPr>
        <w:jc w:val="both"/>
        <w:rPr>
          <w:rFonts w:ascii="Helvetica" w:hAnsi="Helvetica" w:cs="Helvetica"/>
          <w:sz w:val="20"/>
          <w:szCs w:val="20"/>
        </w:rPr>
      </w:pPr>
      <w:r w:rsidRPr="00E73989">
        <w:rPr>
          <w:rFonts w:ascii="Helvetica" w:hAnsi="Helvetica" w:cs="Helvetica"/>
          <w:sz w:val="20"/>
          <w:szCs w:val="20"/>
        </w:rPr>
        <w:t>Batch or lot number of products.</w:t>
      </w:r>
    </w:p>
    <w:p w14:paraId="0FF03672" w14:textId="77777777" w:rsidR="00612AEE" w:rsidRPr="00E73989" w:rsidRDefault="00612AEE" w:rsidP="00612AEE">
      <w:pPr>
        <w:pStyle w:val="ListParagraph"/>
        <w:numPr>
          <w:ilvl w:val="0"/>
          <w:numId w:val="22"/>
        </w:numPr>
        <w:jc w:val="both"/>
        <w:rPr>
          <w:rFonts w:ascii="Helvetica" w:hAnsi="Helvetica" w:cs="Helvetica"/>
          <w:sz w:val="20"/>
          <w:szCs w:val="20"/>
        </w:rPr>
      </w:pPr>
      <w:r w:rsidRPr="00E73989">
        <w:rPr>
          <w:rFonts w:ascii="Helvetica" w:hAnsi="Helvetica" w:cs="Helvetica"/>
          <w:sz w:val="20"/>
          <w:szCs w:val="20"/>
        </w:rPr>
        <w:t>Name and address of manufacturer or agent.</w:t>
      </w:r>
    </w:p>
    <w:p w14:paraId="0D655F7A" w14:textId="77777777" w:rsidR="00612AEE" w:rsidRPr="00E73989" w:rsidRDefault="00612AEE" w:rsidP="00612AEE">
      <w:pPr>
        <w:pStyle w:val="ListParagraph"/>
        <w:numPr>
          <w:ilvl w:val="0"/>
          <w:numId w:val="22"/>
        </w:numPr>
        <w:jc w:val="both"/>
        <w:rPr>
          <w:rFonts w:ascii="Helvetica" w:hAnsi="Helvetica" w:cs="Helvetica"/>
          <w:sz w:val="20"/>
          <w:szCs w:val="20"/>
        </w:rPr>
      </w:pPr>
      <w:r w:rsidRPr="00E73989">
        <w:rPr>
          <w:rFonts w:ascii="Helvetica" w:hAnsi="Helvetica" w:cs="Helvetica"/>
          <w:sz w:val="20"/>
          <w:szCs w:val="20"/>
        </w:rPr>
        <w:t>Directions for use, if relevant.</w:t>
      </w:r>
    </w:p>
    <w:p w14:paraId="050C774F" w14:textId="77777777" w:rsidR="00612AEE" w:rsidRPr="00E73989" w:rsidRDefault="00612AEE" w:rsidP="00612AEE">
      <w:pPr>
        <w:pStyle w:val="ListParagraph"/>
        <w:numPr>
          <w:ilvl w:val="0"/>
          <w:numId w:val="22"/>
        </w:numPr>
        <w:jc w:val="both"/>
        <w:rPr>
          <w:rFonts w:ascii="Helvetica" w:hAnsi="Helvetica" w:cs="Helvetica"/>
          <w:sz w:val="20"/>
          <w:szCs w:val="20"/>
        </w:rPr>
      </w:pPr>
      <w:r w:rsidRPr="00E73989">
        <w:rPr>
          <w:rFonts w:ascii="Helvetica" w:hAnsi="Helvetica" w:cs="Helvetica"/>
          <w:sz w:val="20"/>
          <w:szCs w:val="20"/>
        </w:rPr>
        <w:t>Any special instructions for storage, handling; etc. and</w:t>
      </w:r>
    </w:p>
    <w:p w14:paraId="4A49B6B7" w14:textId="68CC4320" w:rsidR="00612AEE" w:rsidRDefault="00612AEE" w:rsidP="009900CB">
      <w:pPr>
        <w:pStyle w:val="ListParagraph"/>
        <w:numPr>
          <w:ilvl w:val="0"/>
          <w:numId w:val="22"/>
        </w:numPr>
        <w:spacing w:after="0"/>
        <w:jc w:val="both"/>
        <w:rPr>
          <w:rFonts w:ascii="Helvetica" w:hAnsi="Helvetica" w:cs="Helvetica"/>
          <w:sz w:val="20"/>
          <w:szCs w:val="20"/>
        </w:rPr>
      </w:pPr>
      <w:r w:rsidRPr="00E73989">
        <w:rPr>
          <w:rFonts w:ascii="Helvetica" w:hAnsi="Helvetica" w:cs="Helvetica"/>
          <w:sz w:val="20"/>
          <w:szCs w:val="20"/>
        </w:rPr>
        <w:t>Any pertinent warnings.</w:t>
      </w:r>
    </w:p>
    <w:p w14:paraId="7F382393" w14:textId="77777777" w:rsidR="009900CB" w:rsidRPr="009900CB" w:rsidRDefault="009900CB" w:rsidP="009900CB">
      <w:pPr>
        <w:spacing w:after="0"/>
        <w:jc w:val="both"/>
        <w:rPr>
          <w:rFonts w:ascii="Helvetica" w:hAnsi="Helvetica" w:cs="Helvetica"/>
          <w:sz w:val="20"/>
          <w:szCs w:val="20"/>
        </w:rPr>
      </w:pPr>
    </w:p>
    <w:p w14:paraId="08F359FC" w14:textId="77777777" w:rsidR="00612AEE" w:rsidRPr="00E73989" w:rsidRDefault="00612AEE" w:rsidP="009900CB">
      <w:pPr>
        <w:spacing w:after="0"/>
        <w:jc w:val="both"/>
        <w:rPr>
          <w:rFonts w:ascii="Helvetica" w:hAnsi="Helvetica" w:cs="Helvetica"/>
          <w:b/>
          <w:bCs/>
          <w:sz w:val="20"/>
          <w:szCs w:val="20"/>
        </w:rPr>
      </w:pPr>
      <w:r w:rsidRPr="00E73989">
        <w:rPr>
          <w:rFonts w:ascii="Helvetica" w:hAnsi="Helvetica" w:cs="Helvetica"/>
          <w:b/>
          <w:bCs/>
          <w:sz w:val="20"/>
          <w:szCs w:val="20"/>
        </w:rPr>
        <w:t>Prohibited and restricted imports</w:t>
      </w:r>
    </w:p>
    <w:p w14:paraId="7ACFC14E" w14:textId="5491AD0F" w:rsidR="00612AEE" w:rsidRDefault="00612AEE" w:rsidP="009900CB">
      <w:pPr>
        <w:spacing w:after="0"/>
        <w:jc w:val="both"/>
        <w:rPr>
          <w:rFonts w:ascii="Helvetica" w:hAnsi="Helvetica" w:cs="Helvetica"/>
          <w:sz w:val="20"/>
          <w:szCs w:val="20"/>
        </w:rPr>
      </w:pPr>
      <w:r w:rsidRPr="00E73989">
        <w:rPr>
          <w:rFonts w:ascii="Helvetica" w:hAnsi="Helvetica" w:cs="Helvetica"/>
          <w:sz w:val="20"/>
          <w:szCs w:val="20"/>
        </w:rPr>
        <w:t>Some prohibited imports include narcotics, mercuric medicated soap, toxic waste, contaminated goods, certain tobacco products, certain agricultural materials and other goods prohibited by local law. Check a complete, current list of import restrictions.</w:t>
      </w:r>
    </w:p>
    <w:p w14:paraId="73A8EA7E" w14:textId="77777777" w:rsidR="009900CB" w:rsidRPr="00E73989" w:rsidRDefault="009900CB" w:rsidP="009900CB">
      <w:pPr>
        <w:spacing w:after="0"/>
        <w:jc w:val="both"/>
        <w:rPr>
          <w:rFonts w:ascii="Helvetica" w:hAnsi="Helvetica" w:cs="Helvetica"/>
          <w:sz w:val="20"/>
          <w:szCs w:val="20"/>
        </w:rPr>
      </w:pPr>
    </w:p>
    <w:p w14:paraId="0F37C659" w14:textId="77777777" w:rsidR="00612AEE" w:rsidRPr="00E73989" w:rsidRDefault="00612AEE" w:rsidP="009900CB">
      <w:pPr>
        <w:spacing w:after="0"/>
        <w:jc w:val="both"/>
        <w:rPr>
          <w:rFonts w:ascii="Helvetica" w:hAnsi="Helvetica" w:cs="Helvetica"/>
          <w:sz w:val="20"/>
          <w:szCs w:val="20"/>
        </w:rPr>
      </w:pPr>
      <w:r w:rsidRPr="00E73989">
        <w:rPr>
          <w:rFonts w:ascii="Helvetica" w:hAnsi="Helvetica" w:cs="Helvetica"/>
          <w:b/>
          <w:bCs/>
          <w:sz w:val="20"/>
          <w:szCs w:val="20"/>
        </w:rPr>
        <w:t>Ghana trade agreements</w:t>
      </w:r>
    </w:p>
    <w:p w14:paraId="69C1054B" w14:textId="77777777" w:rsidR="00612AEE" w:rsidRPr="00E73989" w:rsidRDefault="00612AEE" w:rsidP="00612AEE">
      <w:pPr>
        <w:jc w:val="both"/>
        <w:rPr>
          <w:rFonts w:ascii="Helvetica" w:hAnsi="Helvetica" w:cs="Helvetica"/>
          <w:sz w:val="20"/>
          <w:szCs w:val="20"/>
        </w:rPr>
      </w:pPr>
      <w:r w:rsidRPr="00E73989">
        <w:rPr>
          <w:rFonts w:ascii="Helvetica" w:hAnsi="Helvetica" w:cs="Helvetica"/>
          <w:sz w:val="20"/>
          <w:szCs w:val="20"/>
        </w:rPr>
        <w:t>Ghana is a member of the World Trade Organization (WTO) and a signatory to the ACP-EU Partnership Agreement, which replaced the Lomé Convention, a trade and aid agreement between the European Union and 46 of Europe’s former colonies and dependencies in Africa, the Caribbean and the Pacific (the ACP group). Ghana is also one of the beneficiaries of the U.S. African Growth and Opportunity Act (AGOA) quota and duty-free status and a key member of the Economic Community of West African States (ECOWAS).</w:t>
      </w:r>
      <w:r w:rsidRPr="00E73989">
        <w:rPr>
          <w:rStyle w:val="FootnoteReference"/>
          <w:rFonts w:ascii="Helvetica" w:hAnsi="Helvetica" w:cs="Helvetica"/>
          <w:sz w:val="20"/>
          <w:szCs w:val="20"/>
        </w:rPr>
        <w:footnoteReference w:id="6"/>
      </w:r>
      <w:r w:rsidRPr="00E73989">
        <w:rPr>
          <w:rFonts w:ascii="Helvetica" w:hAnsi="Helvetica" w:cs="Helvetica"/>
          <w:sz w:val="20"/>
          <w:szCs w:val="20"/>
        </w:rPr>
        <w:br w:type="page"/>
      </w:r>
    </w:p>
    <w:p w14:paraId="4D3E65B8" w14:textId="3308223E" w:rsidR="00612AEE" w:rsidRPr="00E73989" w:rsidRDefault="004D5BC0" w:rsidP="00A30941">
      <w:pPr>
        <w:pStyle w:val="Heading2"/>
        <w:numPr>
          <w:ilvl w:val="1"/>
          <w:numId w:val="3"/>
        </w:numPr>
        <w:ind w:left="567" w:hanging="567"/>
      </w:pPr>
      <w:bookmarkStart w:id="18" w:name="_Toc86603887"/>
      <w:bookmarkStart w:id="19" w:name="_Toc87202387"/>
      <w:r w:rsidRPr="00E73989">
        <w:lastRenderedPageBreak/>
        <w:t>Port-to-port</w:t>
      </w:r>
      <w:bookmarkEnd w:id="18"/>
      <w:bookmarkEnd w:id="19"/>
    </w:p>
    <w:p w14:paraId="5ED8C5DE" w14:textId="77777777" w:rsidR="00612AEE" w:rsidRPr="00E73989" w:rsidRDefault="00612AEE" w:rsidP="00612AEE">
      <w:pPr>
        <w:spacing w:after="0"/>
        <w:rPr>
          <w:rFonts w:ascii="Helvetica" w:hAnsi="Helvetica" w:cs="Helvetica"/>
          <w:sz w:val="20"/>
          <w:szCs w:val="20"/>
        </w:rPr>
      </w:pPr>
    </w:p>
    <w:p w14:paraId="6DD12F23" w14:textId="77777777" w:rsidR="00612AEE" w:rsidRPr="00E73989" w:rsidRDefault="00612AEE" w:rsidP="00612AEE">
      <w:pPr>
        <w:spacing w:after="240"/>
        <w:jc w:val="center"/>
        <w:rPr>
          <w:rFonts w:ascii="Arial Narrow" w:hAnsi="Arial Narrow" w:cs="Helvetica"/>
          <w:bCs/>
          <w:sz w:val="20"/>
          <w:szCs w:val="20"/>
        </w:rPr>
      </w:pPr>
      <w:r w:rsidRPr="00E73989">
        <w:rPr>
          <w:rFonts w:ascii="Arial Narrow" w:hAnsi="Arial Narrow" w:cs="Helvetica"/>
          <w:bCs/>
          <w:noProof/>
          <w:sz w:val="20"/>
          <w:szCs w:val="20"/>
        </w:rPr>
        <w:drawing>
          <wp:inline distT="0" distB="0" distL="0" distR="0" wp14:anchorId="4609337C" wp14:editId="6A08F19D">
            <wp:extent cx="2804160" cy="2607869"/>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460" cy="2612798"/>
                    </a:xfrm>
                    <a:prstGeom prst="rect">
                      <a:avLst/>
                    </a:prstGeom>
                    <a:noFill/>
                  </pic:spPr>
                </pic:pic>
              </a:graphicData>
            </a:graphic>
          </wp:inline>
        </w:drawing>
      </w:r>
    </w:p>
    <w:p w14:paraId="0D0A561E" w14:textId="2B22C5D7" w:rsidR="00612AEE" w:rsidRPr="00E73989" w:rsidRDefault="00612AEE" w:rsidP="004D5BC0">
      <w:pPr>
        <w:spacing w:after="0"/>
        <w:jc w:val="both"/>
        <w:rPr>
          <w:rFonts w:ascii="Helvetica" w:hAnsi="Helvetica" w:cs="Helvetica"/>
          <w:bCs/>
          <w:sz w:val="20"/>
          <w:szCs w:val="20"/>
        </w:rPr>
      </w:pPr>
      <w:r w:rsidRPr="00E73989">
        <w:rPr>
          <w:rFonts w:ascii="Helvetica" w:hAnsi="Helvetica" w:cs="Helvetica"/>
          <w:bCs/>
          <w:sz w:val="20"/>
          <w:szCs w:val="20"/>
        </w:rPr>
        <w:t>The Takoradi Harbour and Tema Harbour and ports serve Sekondi-Takoradi (Saltpond) and Tema's role as manufacturing centres and handles cargo in transhipment to and from bordering countries north of Ghana. The Golden Jubilee Terminal is a recently opened facility of the Tema port. The Fishing Harbour at Tema is a separate port facility. It is a commercial and industrial fishing port composed of four main areas, Inner Harbour, Outer Harbour, Canoe Basin and Commercial Area. The harbour handles the catch from commercial deep-sea fishing and canoe fishing.</w:t>
      </w:r>
    </w:p>
    <w:p w14:paraId="700C9049" w14:textId="77777777" w:rsidR="004D5BC0" w:rsidRPr="00E73989" w:rsidRDefault="004D5BC0" w:rsidP="004D5BC0">
      <w:pPr>
        <w:spacing w:after="0"/>
        <w:jc w:val="both"/>
        <w:rPr>
          <w:rFonts w:ascii="Helvetica" w:hAnsi="Helvetica" w:cs="Helvetica"/>
          <w:bCs/>
          <w:sz w:val="20"/>
          <w:szCs w:val="20"/>
        </w:rPr>
      </w:pPr>
    </w:p>
    <w:p w14:paraId="7393E6EF" w14:textId="44DF479E" w:rsidR="009900CB" w:rsidRPr="009900CB" w:rsidRDefault="009900CB" w:rsidP="009900CB">
      <w:pPr>
        <w:pStyle w:val="Caption"/>
        <w:keepNext/>
        <w:spacing w:after="0"/>
        <w:ind w:left="720" w:firstLine="720"/>
        <w:rPr>
          <w:rFonts w:ascii="Helvetica" w:hAnsi="Helvetica" w:cs="Helvetica"/>
        </w:rPr>
      </w:pPr>
      <w:r w:rsidRPr="009900CB">
        <w:rPr>
          <w:rFonts w:ascii="Helvetica" w:hAnsi="Helvetica" w:cs="Helvetica"/>
        </w:rPr>
        <w:t xml:space="preserve">Figure </w:t>
      </w:r>
      <w:r w:rsidRPr="009900CB">
        <w:rPr>
          <w:rFonts w:ascii="Helvetica" w:hAnsi="Helvetica" w:cs="Helvetica"/>
        </w:rPr>
        <w:fldChar w:fldCharType="begin"/>
      </w:r>
      <w:r w:rsidRPr="009900CB">
        <w:rPr>
          <w:rFonts w:ascii="Helvetica" w:hAnsi="Helvetica" w:cs="Helvetica"/>
        </w:rPr>
        <w:instrText xml:space="preserve"> SEQ Figure \* ARABIC </w:instrText>
      </w:r>
      <w:r w:rsidRPr="009900CB">
        <w:rPr>
          <w:rFonts w:ascii="Helvetica" w:hAnsi="Helvetica" w:cs="Helvetica"/>
        </w:rPr>
        <w:fldChar w:fldCharType="separate"/>
      </w:r>
      <w:r w:rsidR="003B149F">
        <w:rPr>
          <w:rFonts w:ascii="Helvetica" w:hAnsi="Helvetica" w:cs="Helvetica"/>
          <w:noProof/>
        </w:rPr>
        <w:t>16</w:t>
      </w:r>
      <w:r w:rsidRPr="009900CB">
        <w:rPr>
          <w:rFonts w:ascii="Helvetica" w:hAnsi="Helvetica" w:cs="Helvetica"/>
        </w:rPr>
        <w:fldChar w:fldCharType="end"/>
      </w:r>
      <w:r w:rsidRPr="009900CB">
        <w:rPr>
          <w:rFonts w:ascii="Helvetica" w:hAnsi="Helvetica" w:cs="Helvetica"/>
        </w:rPr>
        <w:t>: Cape Town port terminal to main sea ports in Ghana</w:t>
      </w:r>
    </w:p>
    <w:tbl>
      <w:tblPr>
        <w:tblStyle w:val="TableGrid53"/>
        <w:tblW w:w="0" w:type="auto"/>
        <w:jc w:val="center"/>
        <w:tblLook w:val="0000" w:firstRow="0" w:lastRow="0" w:firstColumn="0" w:lastColumn="0" w:noHBand="0" w:noVBand="0"/>
      </w:tblPr>
      <w:tblGrid>
        <w:gridCol w:w="2281"/>
        <w:gridCol w:w="2125"/>
        <w:gridCol w:w="2267"/>
      </w:tblGrid>
      <w:tr w:rsidR="00612AEE" w:rsidRPr="009900CB" w14:paraId="5C6B43C0" w14:textId="77777777" w:rsidTr="009900CB">
        <w:trPr>
          <w:trHeight w:val="283"/>
          <w:jc w:val="center"/>
        </w:trPr>
        <w:tc>
          <w:tcPr>
            <w:tcW w:w="2281" w:type="dxa"/>
            <w:shd w:val="clear" w:color="auto" w:fill="00BBFE"/>
            <w:vAlign w:val="center"/>
          </w:tcPr>
          <w:p w14:paraId="5709626F" w14:textId="2298E604" w:rsidR="00612AEE" w:rsidRPr="009900CB" w:rsidRDefault="009900CB" w:rsidP="00233C76">
            <w:pPr>
              <w:jc w:val="center"/>
              <w:rPr>
                <w:rFonts w:ascii="Helvetica" w:hAnsi="Helvetica" w:cs="Helvetica"/>
                <w:b/>
                <w:color w:val="FFFFFF" w:themeColor="background1"/>
                <w:sz w:val="20"/>
                <w:szCs w:val="20"/>
              </w:rPr>
            </w:pPr>
            <w:r w:rsidRPr="009900CB">
              <w:rPr>
                <w:rFonts w:ascii="Helvetica" w:hAnsi="Helvetica" w:cs="Helvetica"/>
                <w:b/>
                <w:color w:val="FFFFFF" w:themeColor="background1"/>
                <w:sz w:val="20"/>
                <w:szCs w:val="20"/>
              </w:rPr>
              <w:t>Ports</w:t>
            </w:r>
          </w:p>
        </w:tc>
        <w:tc>
          <w:tcPr>
            <w:tcW w:w="2125" w:type="dxa"/>
            <w:shd w:val="clear" w:color="auto" w:fill="00BBFE"/>
            <w:vAlign w:val="center"/>
          </w:tcPr>
          <w:p w14:paraId="1E12296C" w14:textId="229608E2" w:rsidR="00612AEE" w:rsidRPr="009900CB" w:rsidRDefault="009900CB" w:rsidP="00233C76">
            <w:pPr>
              <w:jc w:val="center"/>
              <w:rPr>
                <w:rFonts w:ascii="Helvetica" w:hAnsi="Helvetica" w:cs="Helvetica"/>
                <w:b/>
                <w:color w:val="FFFFFF" w:themeColor="background1"/>
                <w:sz w:val="20"/>
                <w:szCs w:val="20"/>
              </w:rPr>
            </w:pPr>
            <w:r w:rsidRPr="009900CB">
              <w:rPr>
                <w:rFonts w:ascii="Helvetica" w:hAnsi="Helvetica" w:cs="Helvetica"/>
                <w:b/>
                <w:color w:val="FFFFFF" w:themeColor="background1"/>
                <w:sz w:val="20"/>
                <w:szCs w:val="20"/>
              </w:rPr>
              <w:t>Distance</w:t>
            </w:r>
          </w:p>
        </w:tc>
        <w:tc>
          <w:tcPr>
            <w:tcW w:w="2267" w:type="dxa"/>
            <w:shd w:val="clear" w:color="auto" w:fill="00BBFE"/>
            <w:vAlign w:val="center"/>
          </w:tcPr>
          <w:p w14:paraId="39CBD9B2" w14:textId="084E5275" w:rsidR="00612AEE" w:rsidRPr="009900CB" w:rsidRDefault="009900CB" w:rsidP="00233C76">
            <w:pPr>
              <w:jc w:val="center"/>
              <w:rPr>
                <w:rFonts w:ascii="Helvetica" w:hAnsi="Helvetica" w:cs="Helvetica"/>
                <w:b/>
                <w:color w:val="FFFFFF" w:themeColor="background1"/>
                <w:sz w:val="20"/>
                <w:szCs w:val="20"/>
              </w:rPr>
            </w:pPr>
            <w:r w:rsidRPr="009900CB">
              <w:rPr>
                <w:rFonts w:ascii="Helvetica" w:hAnsi="Helvetica" w:cs="Helvetica"/>
                <w:b/>
                <w:color w:val="FFFFFF" w:themeColor="background1"/>
                <w:sz w:val="20"/>
                <w:szCs w:val="20"/>
              </w:rPr>
              <w:t>Transit time</w:t>
            </w:r>
          </w:p>
        </w:tc>
      </w:tr>
      <w:tr w:rsidR="00612AEE" w:rsidRPr="009900CB" w14:paraId="59403A0B" w14:textId="77777777" w:rsidTr="009900CB">
        <w:trPr>
          <w:trHeight w:val="283"/>
          <w:jc w:val="center"/>
        </w:trPr>
        <w:tc>
          <w:tcPr>
            <w:tcW w:w="2281" w:type="dxa"/>
            <w:vAlign w:val="center"/>
          </w:tcPr>
          <w:p w14:paraId="1A12FE89" w14:textId="77777777" w:rsidR="00612AEE" w:rsidRPr="009900CB" w:rsidRDefault="00612AEE" w:rsidP="00233C76">
            <w:pPr>
              <w:rPr>
                <w:rFonts w:ascii="Helvetica" w:hAnsi="Helvetica" w:cs="Helvetica"/>
                <w:sz w:val="20"/>
                <w:szCs w:val="20"/>
              </w:rPr>
            </w:pPr>
            <w:r w:rsidRPr="009900CB">
              <w:rPr>
                <w:rFonts w:ascii="Helvetica" w:hAnsi="Helvetica" w:cs="Helvetica"/>
                <w:sz w:val="20"/>
                <w:szCs w:val="20"/>
              </w:rPr>
              <w:t>Port of Saltpond</w:t>
            </w:r>
          </w:p>
        </w:tc>
        <w:tc>
          <w:tcPr>
            <w:tcW w:w="2125" w:type="dxa"/>
            <w:vAlign w:val="center"/>
          </w:tcPr>
          <w:p w14:paraId="65BB82D1" w14:textId="77777777" w:rsidR="00612AEE" w:rsidRPr="009900CB" w:rsidRDefault="00612AEE" w:rsidP="00233C76">
            <w:pPr>
              <w:jc w:val="right"/>
              <w:rPr>
                <w:rFonts w:ascii="Helvetica" w:hAnsi="Helvetica" w:cs="Helvetica"/>
                <w:sz w:val="20"/>
                <w:szCs w:val="20"/>
              </w:rPr>
            </w:pPr>
            <w:r w:rsidRPr="009900CB">
              <w:rPr>
                <w:rFonts w:ascii="Helvetica" w:hAnsi="Helvetica" w:cs="Helvetica"/>
                <w:sz w:val="20"/>
                <w:szCs w:val="20"/>
              </w:rPr>
              <w:t>4828.52 km</w:t>
            </w:r>
          </w:p>
        </w:tc>
        <w:tc>
          <w:tcPr>
            <w:tcW w:w="2267" w:type="dxa"/>
          </w:tcPr>
          <w:p w14:paraId="65967CD7" w14:textId="77777777" w:rsidR="00612AEE" w:rsidRPr="009900CB" w:rsidRDefault="00612AEE" w:rsidP="00233C76">
            <w:pPr>
              <w:jc w:val="center"/>
              <w:rPr>
                <w:rFonts w:ascii="Helvetica" w:hAnsi="Helvetica" w:cs="Helvetica"/>
                <w:sz w:val="20"/>
                <w:szCs w:val="20"/>
              </w:rPr>
            </w:pPr>
            <w:r w:rsidRPr="009900CB">
              <w:rPr>
                <w:rFonts w:ascii="Helvetica" w:hAnsi="Helvetica" w:cs="Helvetica"/>
                <w:sz w:val="20"/>
                <w:szCs w:val="20"/>
              </w:rPr>
              <w:t>8 days 8 hours</w:t>
            </w:r>
          </w:p>
        </w:tc>
      </w:tr>
      <w:tr w:rsidR="00612AEE" w:rsidRPr="009900CB" w14:paraId="66949AA4" w14:textId="77777777" w:rsidTr="009900CB">
        <w:trPr>
          <w:trHeight w:val="283"/>
          <w:jc w:val="center"/>
        </w:trPr>
        <w:tc>
          <w:tcPr>
            <w:tcW w:w="2281" w:type="dxa"/>
            <w:vAlign w:val="center"/>
          </w:tcPr>
          <w:p w14:paraId="0FFF8E18" w14:textId="77777777" w:rsidR="00612AEE" w:rsidRPr="009900CB" w:rsidRDefault="00612AEE" w:rsidP="00233C76">
            <w:pPr>
              <w:rPr>
                <w:rFonts w:ascii="Helvetica" w:hAnsi="Helvetica" w:cs="Helvetica"/>
                <w:sz w:val="20"/>
                <w:szCs w:val="20"/>
              </w:rPr>
            </w:pPr>
            <w:r w:rsidRPr="009900CB">
              <w:rPr>
                <w:rFonts w:ascii="Helvetica" w:hAnsi="Helvetica" w:cs="Helvetica"/>
                <w:sz w:val="20"/>
                <w:szCs w:val="20"/>
              </w:rPr>
              <w:t>Port of Accra</w:t>
            </w:r>
          </w:p>
        </w:tc>
        <w:tc>
          <w:tcPr>
            <w:tcW w:w="2125" w:type="dxa"/>
            <w:vAlign w:val="center"/>
          </w:tcPr>
          <w:p w14:paraId="59FAD6E1" w14:textId="77777777" w:rsidR="00612AEE" w:rsidRPr="009900CB" w:rsidRDefault="00612AEE" w:rsidP="00233C76">
            <w:pPr>
              <w:jc w:val="right"/>
              <w:rPr>
                <w:rFonts w:ascii="Helvetica" w:hAnsi="Helvetica" w:cs="Helvetica"/>
                <w:sz w:val="20"/>
                <w:szCs w:val="20"/>
              </w:rPr>
            </w:pPr>
            <w:r w:rsidRPr="009900CB">
              <w:rPr>
                <w:rFonts w:ascii="Helvetica" w:hAnsi="Helvetica" w:cs="Helvetica"/>
                <w:sz w:val="20"/>
                <w:szCs w:val="20"/>
              </w:rPr>
              <w:t>4824.24 km</w:t>
            </w:r>
          </w:p>
        </w:tc>
        <w:tc>
          <w:tcPr>
            <w:tcW w:w="2267" w:type="dxa"/>
          </w:tcPr>
          <w:p w14:paraId="07125D5E" w14:textId="77777777" w:rsidR="00612AEE" w:rsidRPr="009900CB" w:rsidRDefault="00612AEE" w:rsidP="00233C76">
            <w:pPr>
              <w:jc w:val="center"/>
              <w:rPr>
                <w:rFonts w:ascii="Helvetica" w:hAnsi="Helvetica" w:cs="Helvetica"/>
                <w:sz w:val="20"/>
                <w:szCs w:val="20"/>
              </w:rPr>
            </w:pPr>
            <w:r w:rsidRPr="009900CB">
              <w:rPr>
                <w:rFonts w:ascii="Helvetica" w:hAnsi="Helvetica" w:cs="Helvetica"/>
                <w:sz w:val="20"/>
                <w:szCs w:val="20"/>
              </w:rPr>
              <w:t xml:space="preserve">8 days 8 hours </w:t>
            </w:r>
          </w:p>
        </w:tc>
      </w:tr>
    </w:tbl>
    <w:p w14:paraId="6DFD67F5" w14:textId="1A90A95C" w:rsidR="00612AEE" w:rsidRPr="00E73989" w:rsidRDefault="00612AEE" w:rsidP="00612AEE">
      <w:pPr>
        <w:spacing w:after="0"/>
        <w:jc w:val="both"/>
        <w:rPr>
          <w:rFonts w:ascii="Arial Narrow" w:hAnsi="Arial Narrow" w:cs="Helvetica"/>
          <w:bCs/>
          <w:i/>
          <w:sz w:val="18"/>
          <w:szCs w:val="18"/>
        </w:rPr>
      </w:pPr>
      <w:r w:rsidRPr="00E73989">
        <w:rPr>
          <w:rFonts w:ascii="Arial Narrow" w:hAnsi="Arial Narrow" w:cs="Helvetica"/>
          <w:bCs/>
          <w:i/>
          <w:sz w:val="20"/>
          <w:szCs w:val="20"/>
        </w:rPr>
        <w:t xml:space="preserve">                           </w:t>
      </w:r>
      <w:r w:rsidR="009900CB">
        <w:rPr>
          <w:rFonts w:ascii="Arial Narrow" w:hAnsi="Arial Narrow" w:cs="Helvetica"/>
          <w:bCs/>
          <w:i/>
          <w:sz w:val="20"/>
          <w:szCs w:val="20"/>
        </w:rPr>
        <w:tab/>
      </w:r>
      <w:r w:rsidRPr="00E73989">
        <w:rPr>
          <w:rFonts w:ascii="Arial Narrow" w:hAnsi="Arial Narrow" w:cs="Helvetica"/>
          <w:bCs/>
          <w:i/>
          <w:sz w:val="18"/>
          <w:szCs w:val="18"/>
        </w:rPr>
        <w:t xml:space="preserve">Source: Sea-Rates, 2021. </w:t>
      </w:r>
    </w:p>
    <w:p w14:paraId="72FC4B0F" w14:textId="42A8C37B" w:rsidR="00BF201C" w:rsidRPr="00E73989" w:rsidRDefault="00BF201C" w:rsidP="00AF06F5">
      <w:pPr>
        <w:rPr>
          <w:rFonts w:ascii="Helvetica" w:eastAsiaTheme="minorHAnsi" w:hAnsi="Helvetica" w:cs="Helvetica"/>
          <w:sz w:val="20"/>
          <w:szCs w:val="20"/>
          <w:lang w:eastAsia="en-US"/>
        </w:rPr>
      </w:pPr>
    </w:p>
    <w:p w14:paraId="5F602AC3" w14:textId="7DD787A1" w:rsidR="00233C76" w:rsidRPr="00E73989" w:rsidRDefault="00233C76" w:rsidP="00AF06F5">
      <w:pPr>
        <w:rPr>
          <w:rFonts w:ascii="Helvetica" w:eastAsiaTheme="minorHAnsi" w:hAnsi="Helvetica" w:cs="Helvetica"/>
          <w:sz w:val="20"/>
          <w:szCs w:val="20"/>
          <w:lang w:eastAsia="en-US"/>
        </w:rPr>
      </w:pPr>
    </w:p>
    <w:p w14:paraId="507B2698" w14:textId="7F9B7A28" w:rsidR="00233C76" w:rsidRPr="00E73989" w:rsidRDefault="00233C76" w:rsidP="00AF06F5">
      <w:pPr>
        <w:rPr>
          <w:rFonts w:ascii="Helvetica" w:eastAsiaTheme="minorHAnsi" w:hAnsi="Helvetica" w:cs="Helvetica"/>
          <w:sz w:val="20"/>
          <w:szCs w:val="20"/>
          <w:lang w:eastAsia="en-US"/>
        </w:rPr>
      </w:pPr>
    </w:p>
    <w:p w14:paraId="0AAA4C51" w14:textId="32F1334F" w:rsidR="00233C76" w:rsidRPr="00E73989" w:rsidRDefault="00233C76" w:rsidP="00AF06F5">
      <w:pPr>
        <w:rPr>
          <w:rFonts w:ascii="Helvetica" w:eastAsiaTheme="minorHAnsi" w:hAnsi="Helvetica" w:cs="Helvetica"/>
          <w:sz w:val="20"/>
          <w:szCs w:val="20"/>
          <w:lang w:eastAsia="en-US"/>
        </w:rPr>
      </w:pPr>
    </w:p>
    <w:p w14:paraId="6A4A397C" w14:textId="79824690" w:rsidR="00233C76" w:rsidRPr="00E73989" w:rsidRDefault="00233C76" w:rsidP="00AF06F5">
      <w:pPr>
        <w:rPr>
          <w:rFonts w:ascii="Helvetica" w:eastAsiaTheme="minorHAnsi" w:hAnsi="Helvetica" w:cs="Helvetica"/>
          <w:sz w:val="20"/>
          <w:szCs w:val="20"/>
          <w:lang w:eastAsia="en-US"/>
        </w:rPr>
      </w:pPr>
    </w:p>
    <w:p w14:paraId="15DA0BF5" w14:textId="66084B9E" w:rsidR="00233C76" w:rsidRPr="00E73989" w:rsidRDefault="00233C76" w:rsidP="00AF06F5">
      <w:pPr>
        <w:rPr>
          <w:rFonts w:ascii="Helvetica" w:eastAsiaTheme="minorHAnsi" w:hAnsi="Helvetica" w:cs="Helvetica"/>
          <w:sz w:val="20"/>
          <w:szCs w:val="20"/>
          <w:lang w:eastAsia="en-US"/>
        </w:rPr>
      </w:pPr>
    </w:p>
    <w:p w14:paraId="6749C928" w14:textId="3E64FAB3" w:rsidR="00233C76" w:rsidRPr="00E73989" w:rsidRDefault="00233C76" w:rsidP="00AF06F5">
      <w:pPr>
        <w:rPr>
          <w:rFonts w:ascii="Helvetica" w:eastAsiaTheme="minorHAnsi" w:hAnsi="Helvetica" w:cs="Helvetica"/>
          <w:sz w:val="20"/>
          <w:szCs w:val="20"/>
          <w:lang w:eastAsia="en-US"/>
        </w:rPr>
      </w:pPr>
    </w:p>
    <w:p w14:paraId="42F280E4" w14:textId="6A0D9B69" w:rsidR="00233C76" w:rsidRPr="00E73989" w:rsidRDefault="00233C76" w:rsidP="00AF06F5">
      <w:pPr>
        <w:rPr>
          <w:rFonts w:ascii="Helvetica" w:eastAsiaTheme="minorHAnsi" w:hAnsi="Helvetica" w:cs="Helvetica"/>
          <w:sz w:val="20"/>
          <w:szCs w:val="20"/>
          <w:lang w:eastAsia="en-US"/>
        </w:rPr>
      </w:pPr>
    </w:p>
    <w:p w14:paraId="270FEAE8" w14:textId="79BE1700" w:rsidR="00233C76" w:rsidRPr="00E73989" w:rsidRDefault="00233C76" w:rsidP="00AF06F5">
      <w:pPr>
        <w:rPr>
          <w:rFonts w:ascii="Helvetica" w:eastAsiaTheme="minorHAnsi" w:hAnsi="Helvetica" w:cs="Helvetica"/>
          <w:sz w:val="20"/>
          <w:szCs w:val="20"/>
          <w:lang w:eastAsia="en-US"/>
        </w:rPr>
      </w:pPr>
    </w:p>
    <w:p w14:paraId="0C8550F1" w14:textId="2A9A2D09" w:rsidR="00233C76" w:rsidRPr="00E73989" w:rsidRDefault="00233C76" w:rsidP="00AF06F5">
      <w:pPr>
        <w:rPr>
          <w:rFonts w:ascii="Helvetica" w:eastAsiaTheme="minorHAnsi" w:hAnsi="Helvetica" w:cs="Helvetica"/>
          <w:sz w:val="20"/>
          <w:szCs w:val="20"/>
          <w:lang w:eastAsia="en-US"/>
        </w:rPr>
      </w:pPr>
    </w:p>
    <w:p w14:paraId="77BE85E3" w14:textId="60F5D0D1" w:rsidR="00233C76" w:rsidRPr="00E73989" w:rsidRDefault="00233C76" w:rsidP="00AF06F5">
      <w:pPr>
        <w:rPr>
          <w:rFonts w:ascii="Helvetica" w:eastAsiaTheme="minorHAnsi" w:hAnsi="Helvetica" w:cs="Helvetica"/>
          <w:sz w:val="20"/>
          <w:szCs w:val="20"/>
          <w:lang w:eastAsia="en-US"/>
        </w:rPr>
      </w:pPr>
    </w:p>
    <w:p w14:paraId="5158D996" w14:textId="5A57D184" w:rsidR="00233C76" w:rsidRPr="00E73989" w:rsidRDefault="00233C76" w:rsidP="00AF06F5">
      <w:pPr>
        <w:rPr>
          <w:rFonts w:ascii="Helvetica" w:eastAsiaTheme="minorHAnsi" w:hAnsi="Helvetica" w:cs="Helvetica"/>
          <w:sz w:val="20"/>
          <w:szCs w:val="20"/>
          <w:lang w:eastAsia="en-US"/>
        </w:rPr>
      </w:pPr>
    </w:p>
    <w:p w14:paraId="760D9C6D" w14:textId="55032E3E" w:rsidR="00233C76" w:rsidRPr="00E73989" w:rsidRDefault="00233C76" w:rsidP="00AF06F5">
      <w:pPr>
        <w:rPr>
          <w:rFonts w:ascii="Helvetica" w:eastAsiaTheme="minorHAnsi" w:hAnsi="Helvetica" w:cs="Helvetica"/>
          <w:sz w:val="20"/>
          <w:szCs w:val="20"/>
          <w:lang w:eastAsia="en-US"/>
        </w:rPr>
      </w:pPr>
    </w:p>
    <w:p w14:paraId="06018564" w14:textId="77777777" w:rsidR="00233C76" w:rsidRPr="00E73989" w:rsidRDefault="00233C76" w:rsidP="004D5BC0">
      <w:pPr>
        <w:pStyle w:val="Heading1"/>
        <w:ind w:left="426" w:hanging="426"/>
      </w:pPr>
      <w:bookmarkStart w:id="20" w:name="_Toc87202388"/>
      <w:r w:rsidRPr="00E73989">
        <w:lastRenderedPageBreak/>
        <w:t>Foreign Direct Investment</w:t>
      </w:r>
      <w:bookmarkEnd w:id="20"/>
    </w:p>
    <w:p w14:paraId="03671424" w14:textId="77777777" w:rsidR="00233C76" w:rsidRPr="00E73989" w:rsidRDefault="00233C76" w:rsidP="00233C76">
      <w:pPr>
        <w:spacing w:after="0"/>
        <w:jc w:val="both"/>
        <w:rPr>
          <w:rFonts w:ascii="Helvetica" w:hAnsi="Helvetica" w:cs="Helvetica"/>
          <w:sz w:val="20"/>
          <w:szCs w:val="20"/>
        </w:rPr>
      </w:pPr>
      <w:r w:rsidRPr="00E73989">
        <w:rPr>
          <w:rFonts w:ascii="Helvetica" w:hAnsi="Helvetica" w:cs="Helvetica"/>
          <w:sz w:val="20"/>
          <w:szCs w:val="20"/>
        </w:rPr>
        <w:t>This section analyses inward and outward Foreign Direct Investment (FDI) flows to and from the Ghana between January 2011 and September 2021.</w:t>
      </w:r>
    </w:p>
    <w:p w14:paraId="247C4F25" w14:textId="77777777" w:rsidR="00233C76" w:rsidRPr="00E73989" w:rsidRDefault="00233C76" w:rsidP="00233C76">
      <w:pPr>
        <w:spacing w:before="40" w:after="40" w:line="240" w:lineRule="auto"/>
        <w:jc w:val="both"/>
        <w:rPr>
          <w:rFonts w:ascii="Helvetica" w:hAnsi="Helvetica" w:cs="Helvetica"/>
          <w:sz w:val="20"/>
          <w:szCs w:val="20"/>
        </w:rPr>
      </w:pPr>
    </w:p>
    <w:p w14:paraId="4FF4FC68" w14:textId="61F2FF97" w:rsidR="00233C76" w:rsidRPr="00E73989" w:rsidRDefault="00233C76" w:rsidP="004D5BC0">
      <w:pPr>
        <w:pStyle w:val="Heading2"/>
        <w:numPr>
          <w:ilvl w:val="1"/>
          <w:numId w:val="3"/>
        </w:numPr>
        <w:ind w:left="426" w:hanging="426"/>
      </w:pPr>
      <w:bookmarkStart w:id="21" w:name="_Toc87202389"/>
      <w:r w:rsidRPr="00E73989">
        <w:t>Inward FDI from the rest of the world to Ghana</w:t>
      </w:r>
      <w:bookmarkEnd w:id="21"/>
    </w:p>
    <w:p w14:paraId="048403F1" w14:textId="77777777" w:rsidR="00233C76" w:rsidRPr="00E73989" w:rsidRDefault="00233C76" w:rsidP="00233C76">
      <w:pPr>
        <w:spacing w:before="40" w:after="40" w:line="240" w:lineRule="auto"/>
        <w:jc w:val="both"/>
        <w:rPr>
          <w:rFonts w:ascii="Helvetica" w:hAnsi="Helvetica" w:cs="Helvetica"/>
          <w:sz w:val="20"/>
          <w:szCs w:val="20"/>
        </w:rPr>
      </w:pPr>
      <w:r w:rsidRPr="00E73989">
        <w:rPr>
          <w:rFonts w:ascii="Helvetica" w:hAnsi="Helvetica" w:cs="Helvetica"/>
          <w:sz w:val="20"/>
          <w:szCs w:val="20"/>
        </w:rPr>
        <w:t>Ghana is the 6</w:t>
      </w:r>
      <w:r w:rsidRPr="00E73989">
        <w:rPr>
          <w:rFonts w:ascii="Helvetica" w:hAnsi="Helvetica" w:cs="Helvetica"/>
          <w:sz w:val="20"/>
          <w:szCs w:val="20"/>
          <w:vertAlign w:val="superscript"/>
        </w:rPr>
        <w:t>th</w:t>
      </w:r>
      <w:r w:rsidRPr="00E73989">
        <w:rPr>
          <w:rFonts w:ascii="Helvetica" w:hAnsi="Helvetica" w:cs="Helvetica"/>
          <w:sz w:val="20"/>
          <w:szCs w:val="20"/>
        </w:rPr>
        <w:t xml:space="preserve"> ranked destination market for inward FDI projects in Africa. Between January 2011 and September 2021, Ghana recorded a total number of 431 projects, which generated a total capital expenditure of US$32.58 billion and created about 73 083 jobs. The largest number of projects was announced in 2013, with 61 projects that year. Moreover, the largest capex and the highest number of jobs were recorded in 2017 and 2019 respectively.</w:t>
      </w:r>
    </w:p>
    <w:p w14:paraId="5797E614" w14:textId="77777777" w:rsidR="00233C76" w:rsidRPr="00E73989" w:rsidRDefault="00233C76" w:rsidP="00233C76">
      <w:pPr>
        <w:pStyle w:val="Caption"/>
        <w:keepNext/>
        <w:spacing w:after="0"/>
        <w:jc w:val="both"/>
        <w:rPr>
          <w:rFonts w:ascii="Helvetica" w:hAnsi="Helvetica" w:cs="Helvetica"/>
          <w:i w:val="0"/>
          <w:sz w:val="20"/>
          <w:szCs w:val="20"/>
        </w:rPr>
      </w:pPr>
    </w:p>
    <w:p w14:paraId="79626993" w14:textId="79D403A8" w:rsidR="00233C76" w:rsidRPr="00E73989" w:rsidRDefault="00233C76" w:rsidP="00233C76">
      <w:pPr>
        <w:pStyle w:val="Caption"/>
        <w:keepNext/>
        <w:spacing w:after="0"/>
        <w:rPr>
          <w:rFonts w:ascii="Helvetica" w:hAnsi="Helvetica" w:cs="Helvetica"/>
        </w:rPr>
      </w:pPr>
      <w:r w:rsidRPr="00E73989">
        <w:rPr>
          <w:rFonts w:ascii="Helvetica" w:hAnsi="Helvetica" w:cs="Helvetica"/>
        </w:rPr>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17</w:t>
      </w:r>
      <w:r w:rsidRPr="00E73989">
        <w:rPr>
          <w:rFonts w:ascii="Helvetica" w:hAnsi="Helvetica" w:cs="Helvetica"/>
        </w:rPr>
        <w:fldChar w:fldCharType="end"/>
      </w:r>
      <w:r w:rsidRPr="00E73989">
        <w:rPr>
          <w:rFonts w:ascii="Helvetica" w:hAnsi="Helvetica" w:cs="Helvetica"/>
        </w:rPr>
        <w:t>: Inward FDI into Ghana, Jan 2011-Sep 2021</w:t>
      </w:r>
    </w:p>
    <w:p w14:paraId="4F792436" w14:textId="77777777" w:rsidR="00233C76" w:rsidRPr="00E73989" w:rsidRDefault="00233C76" w:rsidP="00233C76">
      <w:pPr>
        <w:spacing w:after="0"/>
      </w:pPr>
      <w:r w:rsidRPr="00E73989">
        <w:rPr>
          <w:noProof/>
        </w:rPr>
        <w:drawing>
          <wp:inline distT="0" distB="0" distL="0" distR="0" wp14:anchorId="75AB91E0" wp14:editId="5208470B">
            <wp:extent cx="5731510" cy="1794267"/>
            <wp:effectExtent l="0" t="0" r="2540" b="0"/>
            <wp:docPr id="33" name="Picture 33" descr="C:\Users\Emmanuel\Downloads\l4Q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nuel\Downloads\l4QD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794267"/>
                    </a:xfrm>
                    <a:prstGeom prst="rect">
                      <a:avLst/>
                    </a:prstGeom>
                    <a:noFill/>
                    <a:ln>
                      <a:noFill/>
                    </a:ln>
                  </pic:spPr>
                </pic:pic>
              </a:graphicData>
            </a:graphic>
          </wp:inline>
        </w:drawing>
      </w:r>
    </w:p>
    <w:p w14:paraId="756F1689"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41C08DB1" w14:textId="77777777" w:rsidR="00233C76" w:rsidRPr="00E73989" w:rsidRDefault="00233C76" w:rsidP="00233C76">
      <w:pPr>
        <w:spacing w:after="0"/>
        <w:jc w:val="both"/>
        <w:rPr>
          <w:rFonts w:ascii="Helvetica" w:hAnsi="Helvetica" w:cs="Helvetica"/>
          <w:sz w:val="20"/>
          <w:szCs w:val="20"/>
        </w:rPr>
      </w:pPr>
    </w:p>
    <w:p w14:paraId="130885F6" w14:textId="77777777" w:rsidR="00233C76" w:rsidRPr="00E73989" w:rsidRDefault="00233C76" w:rsidP="00233C76">
      <w:pPr>
        <w:spacing w:after="0"/>
        <w:jc w:val="both"/>
        <w:rPr>
          <w:rFonts w:ascii="Helvetica" w:hAnsi="Helvetica" w:cs="Helvetica"/>
          <w:sz w:val="20"/>
          <w:szCs w:val="20"/>
        </w:rPr>
      </w:pPr>
      <w:r w:rsidRPr="00E73989">
        <w:rPr>
          <w:rFonts w:ascii="Helvetica" w:hAnsi="Helvetica" w:cs="Helvetica"/>
          <w:sz w:val="20"/>
          <w:szCs w:val="20"/>
        </w:rPr>
        <w:t>As can be seen from Figure 2, Western Europe account for the highest number of FDI projects as well as the largest capex into Ghana. During the period under review, 35% of inward FID projects and 52% of capex into Ghana were from Western Europe.</w:t>
      </w:r>
    </w:p>
    <w:p w14:paraId="4907ECDB" w14:textId="77777777" w:rsidR="00233C76" w:rsidRPr="00E73989" w:rsidRDefault="00233C76" w:rsidP="00233C76">
      <w:pPr>
        <w:spacing w:after="0"/>
        <w:jc w:val="both"/>
        <w:rPr>
          <w:rFonts w:ascii="Helvetica" w:hAnsi="Helvetica" w:cs="Helvetica"/>
          <w:sz w:val="20"/>
          <w:szCs w:val="20"/>
        </w:rPr>
      </w:pPr>
    </w:p>
    <w:p w14:paraId="50167A21" w14:textId="183D5F75" w:rsidR="00233C76" w:rsidRPr="00E73989" w:rsidRDefault="00233C76" w:rsidP="00233C76">
      <w:pPr>
        <w:pStyle w:val="Caption"/>
        <w:keepNext/>
        <w:spacing w:after="0"/>
        <w:ind w:left="720" w:firstLine="720"/>
        <w:rPr>
          <w:rFonts w:ascii="Helvetica" w:hAnsi="Helvetica" w:cs="Helvetica"/>
        </w:rPr>
      </w:pPr>
      <w:r w:rsidRPr="00E73989">
        <w:rPr>
          <w:rFonts w:ascii="Helvetica" w:hAnsi="Helvetica" w:cs="Helvetica"/>
        </w:rPr>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18</w:t>
      </w:r>
      <w:r w:rsidRPr="00E73989">
        <w:rPr>
          <w:rFonts w:ascii="Helvetica" w:hAnsi="Helvetica" w:cs="Helvetica"/>
        </w:rPr>
        <w:fldChar w:fldCharType="end"/>
      </w:r>
      <w:r w:rsidRPr="00E73989">
        <w:rPr>
          <w:rFonts w:ascii="Helvetica" w:hAnsi="Helvetica" w:cs="Helvetica"/>
        </w:rPr>
        <w:t>: Inward FDI into Ghana: by world regions, Jan 2011-Sep 2021</w:t>
      </w:r>
    </w:p>
    <w:p w14:paraId="09582566" w14:textId="77777777" w:rsidR="00233C76" w:rsidRPr="00E73989" w:rsidRDefault="00233C76" w:rsidP="00233C76">
      <w:pPr>
        <w:spacing w:after="0"/>
        <w:jc w:val="center"/>
        <w:rPr>
          <w:rFonts w:ascii="Helvetica" w:hAnsi="Helvetica" w:cs="Helvetica"/>
        </w:rPr>
      </w:pPr>
      <w:r w:rsidRPr="00E73989">
        <w:rPr>
          <w:rFonts w:ascii="Helvetica" w:hAnsi="Helvetica" w:cs="Helvetica"/>
          <w:noProof/>
        </w:rPr>
        <w:drawing>
          <wp:inline distT="0" distB="0" distL="0" distR="0" wp14:anchorId="229A56D3" wp14:editId="1601B0BA">
            <wp:extent cx="4342433" cy="2276475"/>
            <wp:effectExtent l="0" t="0" r="0" b="0"/>
            <wp:docPr id="3" name="Picture 3" descr="C:\Users\Emmanuel\Downloads\l4QD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anuel\Downloads\l4QDN- (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b="1968"/>
                    <a:stretch/>
                  </pic:blipFill>
                  <pic:spPr bwMode="auto">
                    <a:xfrm>
                      <a:off x="0" y="0"/>
                      <a:ext cx="4356551" cy="2283876"/>
                    </a:xfrm>
                    <a:prstGeom prst="rect">
                      <a:avLst/>
                    </a:prstGeom>
                    <a:noFill/>
                    <a:ln>
                      <a:noFill/>
                    </a:ln>
                    <a:extLst>
                      <a:ext uri="{53640926-AAD7-44D8-BBD7-CCE9431645EC}">
                        <a14:shadowObscured xmlns:a14="http://schemas.microsoft.com/office/drawing/2010/main"/>
                      </a:ext>
                    </a:extLst>
                  </pic:spPr>
                </pic:pic>
              </a:graphicData>
            </a:graphic>
          </wp:inline>
        </w:drawing>
      </w:r>
    </w:p>
    <w:p w14:paraId="159F72A1" w14:textId="77777777" w:rsidR="00233C76" w:rsidRPr="00E73989" w:rsidRDefault="00233C76" w:rsidP="00233C76">
      <w:pPr>
        <w:spacing w:after="0"/>
        <w:ind w:left="720" w:firstLine="720"/>
        <w:rPr>
          <w:rFonts w:ascii="Helvetica" w:hAnsi="Helvetica" w:cs="Helvetica"/>
          <w:i/>
          <w:sz w:val="16"/>
          <w:szCs w:val="16"/>
        </w:rPr>
      </w:pPr>
      <w:r w:rsidRPr="00E73989">
        <w:rPr>
          <w:rFonts w:ascii="Helvetica" w:hAnsi="Helvetica" w:cs="Helvetica"/>
          <w:i/>
          <w:sz w:val="16"/>
          <w:szCs w:val="16"/>
        </w:rPr>
        <w:t>Source: FDI Intelligence (2021)</w:t>
      </w:r>
    </w:p>
    <w:p w14:paraId="20FD4349" w14:textId="77777777" w:rsidR="00233C76" w:rsidRPr="00E73989" w:rsidRDefault="00233C76" w:rsidP="00233C76">
      <w:pPr>
        <w:spacing w:after="0"/>
        <w:jc w:val="both"/>
        <w:rPr>
          <w:sz w:val="20"/>
          <w:szCs w:val="20"/>
        </w:rPr>
      </w:pPr>
    </w:p>
    <w:p w14:paraId="2F0B1539" w14:textId="77777777" w:rsidR="00233C76" w:rsidRPr="00E73989" w:rsidRDefault="00233C76" w:rsidP="00233C76">
      <w:pPr>
        <w:spacing w:after="0"/>
        <w:jc w:val="both"/>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Figure 3 contains the top 10 countries with investment in Ghana in terms of both the number of FDI projects and the amount of capital expenditure from the first month of 2013 to the ninth month of 2021. Italy (24.9%) and Hong Kong (12.49%) were the top two countries with the largest amount of capex in Ghana, while the United States (11.14%) and South Africa (10.9%) had the highest number of FDI projects in Ghana.</w:t>
      </w:r>
    </w:p>
    <w:p w14:paraId="5739ED0B" w14:textId="77777777" w:rsidR="00233C76" w:rsidRPr="00E73989" w:rsidRDefault="00233C76" w:rsidP="00233C76">
      <w:pPr>
        <w:spacing w:after="0"/>
        <w:jc w:val="both"/>
      </w:pPr>
    </w:p>
    <w:p w14:paraId="6447A7D2" w14:textId="02651D25" w:rsidR="00233C76" w:rsidRPr="00E73989" w:rsidRDefault="00233C76" w:rsidP="00233C76">
      <w:pPr>
        <w:pStyle w:val="Caption"/>
        <w:keepNext/>
        <w:spacing w:after="0"/>
        <w:jc w:val="both"/>
        <w:rPr>
          <w:rFonts w:ascii="Helvetica" w:hAnsi="Helvetica" w:cs="Helvetica"/>
        </w:rPr>
      </w:pPr>
      <w:r w:rsidRPr="00E73989">
        <w:rPr>
          <w:rFonts w:ascii="Helvetica" w:hAnsi="Helvetica" w:cs="Helvetica"/>
        </w:rPr>
        <w:lastRenderedPageBreak/>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19</w:t>
      </w:r>
      <w:r w:rsidRPr="00E73989">
        <w:rPr>
          <w:rFonts w:ascii="Helvetica" w:hAnsi="Helvetica" w:cs="Helvetica"/>
        </w:rPr>
        <w:fldChar w:fldCharType="end"/>
      </w:r>
      <w:r w:rsidRPr="00E73989">
        <w:rPr>
          <w:rFonts w:ascii="Helvetica" w:hAnsi="Helvetica" w:cs="Helvetica"/>
        </w:rPr>
        <w:t>: Top 10 source markets for inward FDI into Ghana, Jan 2011-Sep 2020</w:t>
      </w:r>
    </w:p>
    <w:p w14:paraId="2BFE018D" w14:textId="77777777" w:rsidR="00233C76" w:rsidRPr="00E73989" w:rsidRDefault="00233C76" w:rsidP="00233C76">
      <w:pPr>
        <w:spacing w:after="0"/>
        <w:jc w:val="both"/>
        <w:rPr>
          <w:rFonts w:ascii="Helvetica" w:hAnsi="Helvetica" w:cs="Helvetica"/>
        </w:rPr>
      </w:pPr>
      <w:r w:rsidRPr="00E73989">
        <w:rPr>
          <w:rFonts w:ascii="Helvetica" w:hAnsi="Helvetica" w:cs="Helvetica"/>
          <w:noProof/>
        </w:rPr>
        <w:drawing>
          <wp:anchor distT="0" distB="0" distL="114300" distR="114300" simplePos="0" relativeHeight="251757568" behindDoc="0" locked="0" layoutInCell="1" allowOverlap="1" wp14:anchorId="59E57B67" wp14:editId="53BC0239">
            <wp:simplePos x="0" y="0"/>
            <wp:positionH relativeFrom="margin">
              <wp:posOffset>3089910</wp:posOffset>
            </wp:positionH>
            <wp:positionV relativeFrom="paragraph">
              <wp:posOffset>5080</wp:posOffset>
            </wp:positionV>
            <wp:extent cx="2967990" cy="1949450"/>
            <wp:effectExtent l="0" t="0" r="3810" b="0"/>
            <wp:wrapSquare wrapText="bothSides"/>
            <wp:docPr id="35" name="Picture 35" descr="C:\Users\Emmanuel\Downloads\l4QD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manuel\Downloads\l4QDN- (4).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47" r="1443"/>
                    <a:stretch/>
                  </pic:blipFill>
                  <pic:spPr bwMode="auto">
                    <a:xfrm>
                      <a:off x="0" y="0"/>
                      <a:ext cx="2967990" cy="194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3989">
        <w:rPr>
          <w:rFonts w:ascii="Helvetica" w:hAnsi="Helvetica" w:cs="Helvetica"/>
          <w:noProof/>
        </w:rPr>
        <w:drawing>
          <wp:inline distT="0" distB="0" distL="0" distR="0" wp14:anchorId="6EAE1C72" wp14:editId="28863627">
            <wp:extent cx="2971800" cy="1959524"/>
            <wp:effectExtent l="0" t="0" r="0" b="3175"/>
            <wp:docPr id="4" name="Picture 4" descr="C:\Users\Emmanuel\Downloads\l4QD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manuel\Downloads\l4QDN- (3).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495" r="1278"/>
                    <a:stretch/>
                  </pic:blipFill>
                  <pic:spPr bwMode="auto">
                    <a:xfrm>
                      <a:off x="0" y="0"/>
                      <a:ext cx="2993405" cy="1973770"/>
                    </a:xfrm>
                    <a:prstGeom prst="rect">
                      <a:avLst/>
                    </a:prstGeom>
                    <a:noFill/>
                    <a:ln>
                      <a:noFill/>
                    </a:ln>
                    <a:extLst>
                      <a:ext uri="{53640926-AAD7-44D8-BBD7-CCE9431645EC}">
                        <a14:shadowObscured xmlns:a14="http://schemas.microsoft.com/office/drawing/2010/main"/>
                      </a:ext>
                    </a:extLst>
                  </pic:spPr>
                </pic:pic>
              </a:graphicData>
            </a:graphic>
          </wp:inline>
        </w:drawing>
      </w:r>
    </w:p>
    <w:p w14:paraId="4A8E4508"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4EFB1055" w14:textId="77777777" w:rsidR="00233C76" w:rsidRPr="00E73989" w:rsidRDefault="00233C76" w:rsidP="00233C76">
      <w:pPr>
        <w:spacing w:after="0"/>
        <w:jc w:val="both"/>
        <w:rPr>
          <w:rFonts w:ascii="Helvetica" w:hAnsi="Helvetica" w:cs="Helvetica"/>
          <w:sz w:val="20"/>
          <w:szCs w:val="20"/>
        </w:rPr>
      </w:pPr>
    </w:p>
    <w:p w14:paraId="10AE7136" w14:textId="77777777" w:rsidR="00233C76" w:rsidRPr="00E73989" w:rsidRDefault="00233C76" w:rsidP="00233C76">
      <w:pPr>
        <w:autoSpaceDE w:val="0"/>
        <w:autoSpaceDN w:val="0"/>
        <w:adjustRightInd w:val="0"/>
        <w:spacing w:after="0"/>
        <w:jc w:val="both"/>
        <w:rPr>
          <w:rFonts w:ascii="Helvetica" w:eastAsia="Times New Roman" w:hAnsi="Helvetica" w:cs="Helvetica"/>
          <w:color w:val="000000" w:themeColor="text1"/>
          <w:sz w:val="20"/>
          <w:szCs w:val="20"/>
        </w:rPr>
      </w:pPr>
      <w:r w:rsidRPr="00E73989">
        <w:rPr>
          <w:rFonts w:ascii="Helvetica" w:eastAsia="Times New Roman" w:hAnsi="Helvetica" w:cs="Helvetica"/>
          <w:color w:val="000000" w:themeColor="text1"/>
          <w:sz w:val="20"/>
          <w:szCs w:val="20"/>
        </w:rPr>
        <w:t>As shown in Figure 4, most of the capital inflows into Ghana were destined for the following industries: coal, oil and gas (US$10.22 b); metal (US$4.95 b); and paper, printing and packing (US$2.95 b). Similarly, financial services (80 projects), communications (50 projects) and business services (42 projects) recorded the highest number of inward FDI projects in Ghana between January 2011 and September 2021.</w:t>
      </w:r>
    </w:p>
    <w:p w14:paraId="0F39E06A" w14:textId="77777777" w:rsidR="00233C76" w:rsidRPr="00E73989" w:rsidRDefault="00233C76" w:rsidP="00233C76">
      <w:pPr>
        <w:spacing w:after="0"/>
        <w:jc w:val="both"/>
        <w:rPr>
          <w:rFonts w:ascii="Helvetica" w:hAnsi="Helvetica" w:cs="Helvetica"/>
          <w:sz w:val="20"/>
          <w:szCs w:val="20"/>
        </w:rPr>
      </w:pPr>
    </w:p>
    <w:p w14:paraId="3A62F409" w14:textId="19B9017B" w:rsidR="00233C76" w:rsidRPr="00E73989" w:rsidRDefault="00233C76" w:rsidP="00233C76">
      <w:pPr>
        <w:pStyle w:val="Caption"/>
        <w:keepNext/>
        <w:spacing w:after="0"/>
        <w:jc w:val="both"/>
        <w:rPr>
          <w:rFonts w:ascii="Helvetica" w:hAnsi="Helvetica" w:cs="Helvetica"/>
        </w:rPr>
      </w:pPr>
      <w:r w:rsidRPr="00E73989">
        <w:rPr>
          <w:rFonts w:ascii="Helvetica" w:hAnsi="Helvetica" w:cs="Helvetica"/>
          <w:noProof/>
        </w:rPr>
        <w:drawing>
          <wp:anchor distT="0" distB="0" distL="114300" distR="114300" simplePos="0" relativeHeight="251758592" behindDoc="0" locked="0" layoutInCell="1" allowOverlap="1" wp14:anchorId="3FD85002" wp14:editId="68822E65">
            <wp:simplePos x="0" y="0"/>
            <wp:positionH relativeFrom="column">
              <wp:posOffset>3204210</wp:posOffset>
            </wp:positionH>
            <wp:positionV relativeFrom="paragraph">
              <wp:posOffset>142875</wp:posOffset>
            </wp:positionV>
            <wp:extent cx="3105150" cy="2109470"/>
            <wp:effectExtent l="0" t="0" r="0" b="5080"/>
            <wp:wrapSquare wrapText="bothSides"/>
            <wp:docPr id="37" name="Picture 37" descr="C:\Users\Emmanuel\Downloads\l4QD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manuel\Downloads\l4QDN- (5).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00" r="1319"/>
                    <a:stretch/>
                  </pic:blipFill>
                  <pic:spPr bwMode="auto">
                    <a:xfrm>
                      <a:off x="0" y="0"/>
                      <a:ext cx="3105150" cy="2109470"/>
                    </a:xfrm>
                    <a:prstGeom prst="rect">
                      <a:avLst/>
                    </a:prstGeom>
                    <a:noFill/>
                    <a:ln>
                      <a:noFill/>
                    </a:ln>
                    <a:extLst>
                      <a:ext uri="{53640926-AAD7-44D8-BBD7-CCE9431645EC}">
                        <a14:shadowObscured xmlns:a14="http://schemas.microsoft.com/office/drawing/2010/main"/>
                      </a:ext>
                    </a:extLst>
                  </pic:spPr>
                </pic:pic>
              </a:graphicData>
            </a:graphic>
          </wp:anchor>
        </w:drawing>
      </w:r>
      <w:r w:rsidRPr="00E73989">
        <w:rPr>
          <w:rFonts w:ascii="Helvetica" w:hAnsi="Helvetica" w:cs="Helvetica"/>
        </w:rPr>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20</w:t>
      </w:r>
      <w:r w:rsidRPr="00E73989">
        <w:rPr>
          <w:rFonts w:ascii="Helvetica" w:hAnsi="Helvetica" w:cs="Helvetica"/>
        </w:rPr>
        <w:fldChar w:fldCharType="end"/>
      </w:r>
      <w:r w:rsidRPr="00E73989">
        <w:rPr>
          <w:rFonts w:ascii="Helvetica" w:hAnsi="Helvetica" w:cs="Helvetica"/>
        </w:rPr>
        <w:t>: Ghana's inward FDI, top 10 sectors (Jan 2011-Sep 2020)</w:t>
      </w:r>
    </w:p>
    <w:p w14:paraId="0138D996" w14:textId="77777777" w:rsidR="00233C76" w:rsidRPr="00E73989" w:rsidRDefault="00233C76" w:rsidP="00233C76">
      <w:pPr>
        <w:spacing w:after="0"/>
        <w:jc w:val="both"/>
        <w:rPr>
          <w:rFonts w:ascii="Helvetica" w:hAnsi="Helvetica" w:cs="Helvetica"/>
        </w:rPr>
      </w:pPr>
      <w:r w:rsidRPr="00E73989">
        <w:rPr>
          <w:rFonts w:ascii="Helvetica" w:hAnsi="Helvetica" w:cs="Helvetica"/>
          <w:noProof/>
        </w:rPr>
        <w:drawing>
          <wp:inline distT="0" distB="0" distL="0" distR="0" wp14:anchorId="653AD871" wp14:editId="1D8E5BA4">
            <wp:extent cx="3078480" cy="2095099"/>
            <wp:effectExtent l="0" t="0" r="7620" b="635"/>
            <wp:docPr id="38" name="Picture 38" descr="C:\Users\Emmanuel\Downloads\l4QD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manuel\Downloads\l4QDN- (6).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1281" r="1610"/>
                    <a:stretch/>
                  </pic:blipFill>
                  <pic:spPr bwMode="auto">
                    <a:xfrm>
                      <a:off x="0" y="0"/>
                      <a:ext cx="3110960" cy="2117203"/>
                    </a:xfrm>
                    <a:prstGeom prst="rect">
                      <a:avLst/>
                    </a:prstGeom>
                    <a:noFill/>
                    <a:ln>
                      <a:noFill/>
                    </a:ln>
                    <a:extLst>
                      <a:ext uri="{53640926-AAD7-44D8-BBD7-CCE9431645EC}">
                        <a14:shadowObscured xmlns:a14="http://schemas.microsoft.com/office/drawing/2010/main"/>
                      </a:ext>
                    </a:extLst>
                  </pic:spPr>
                </pic:pic>
              </a:graphicData>
            </a:graphic>
          </wp:inline>
        </w:drawing>
      </w:r>
    </w:p>
    <w:p w14:paraId="7CFFFA93"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033CC441" w14:textId="77777777" w:rsidR="00233C76" w:rsidRPr="00E73989" w:rsidRDefault="00233C76" w:rsidP="00233C76">
      <w:pPr>
        <w:spacing w:after="0"/>
        <w:jc w:val="both"/>
        <w:rPr>
          <w:rFonts w:ascii="Helvetica" w:hAnsi="Helvetica" w:cs="Helvetica"/>
          <w:sz w:val="20"/>
          <w:szCs w:val="20"/>
        </w:rPr>
      </w:pPr>
    </w:p>
    <w:p w14:paraId="4D41B160" w14:textId="77777777" w:rsidR="00233C76" w:rsidRPr="00E73989" w:rsidRDefault="00233C76" w:rsidP="00233C76">
      <w:pPr>
        <w:spacing w:before="40" w:after="40" w:line="240" w:lineRule="auto"/>
        <w:jc w:val="both"/>
        <w:rPr>
          <w:rFonts w:ascii="Helvetica" w:hAnsi="Helvetica" w:cs="Helvetica"/>
          <w:sz w:val="20"/>
          <w:szCs w:val="20"/>
        </w:rPr>
      </w:pPr>
      <w:r w:rsidRPr="00E73989">
        <w:rPr>
          <w:rFonts w:ascii="Helvetica" w:hAnsi="Helvetica" w:cs="Helvetica"/>
          <w:sz w:val="20"/>
          <w:szCs w:val="20"/>
        </w:rPr>
        <w:t>A total of 331 companies invested in Ghana between January 2011 and September 2021, out of a total 77,932 companies investing in FDI globally. The number of companies investing in Ghana peaked in 2013 as can be seen in Figure 5.</w:t>
      </w:r>
    </w:p>
    <w:p w14:paraId="6C3E9FD1" w14:textId="77777777" w:rsidR="00233C76" w:rsidRPr="00E73989" w:rsidRDefault="00233C76" w:rsidP="00233C76">
      <w:pPr>
        <w:spacing w:before="40" w:after="40" w:line="240" w:lineRule="auto"/>
        <w:rPr>
          <w:rFonts w:ascii="Helvetica" w:hAnsi="Helvetica" w:cs="Helvetica"/>
          <w:sz w:val="20"/>
          <w:szCs w:val="20"/>
        </w:rPr>
      </w:pPr>
    </w:p>
    <w:p w14:paraId="39861401" w14:textId="2D616CC9" w:rsidR="00233C76" w:rsidRPr="00E73989" w:rsidRDefault="00233C76" w:rsidP="00233C76">
      <w:pPr>
        <w:pStyle w:val="Caption"/>
        <w:keepNext/>
        <w:spacing w:after="0"/>
        <w:rPr>
          <w:rFonts w:ascii="Helvetica" w:hAnsi="Helvetica" w:cs="Helvetica"/>
        </w:rPr>
      </w:pPr>
      <w:r w:rsidRPr="00E73989">
        <w:rPr>
          <w:rFonts w:ascii="Helvetica" w:hAnsi="Helvetica" w:cs="Helvetica"/>
        </w:rPr>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21</w:t>
      </w:r>
      <w:r w:rsidRPr="00E73989">
        <w:rPr>
          <w:rFonts w:ascii="Helvetica" w:hAnsi="Helvetica" w:cs="Helvetica"/>
        </w:rPr>
        <w:fldChar w:fldCharType="end"/>
      </w:r>
      <w:r w:rsidRPr="00E73989">
        <w:rPr>
          <w:rFonts w:ascii="Helvetica" w:hAnsi="Helvetica" w:cs="Helvetica"/>
        </w:rPr>
        <w:t>: Number of companies by year and percentage of all companies, Jan 2011-Sep 2021</w:t>
      </w:r>
    </w:p>
    <w:p w14:paraId="67BA4699" w14:textId="77777777" w:rsidR="00233C76" w:rsidRPr="00E73989" w:rsidRDefault="00233C76" w:rsidP="00233C76">
      <w:pPr>
        <w:spacing w:before="40" w:after="40" w:line="240" w:lineRule="auto"/>
        <w:jc w:val="right"/>
        <w:rPr>
          <w:rFonts w:ascii="Arial" w:hAnsi="Arial" w:cs="Arial"/>
        </w:rPr>
      </w:pPr>
      <w:r w:rsidRPr="00E73989">
        <w:rPr>
          <w:rFonts w:ascii="Arial" w:hAnsi="Arial" w:cs="Arial"/>
          <w:noProof/>
        </w:rPr>
        <w:drawing>
          <wp:inline distT="0" distB="0" distL="0" distR="0" wp14:anchorId="795E6E54" wp14:editId="01A081CF">
            <wp:extent cx="6121400" cy="2191109"/>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334C6C"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7B07BA33" w14:textId="77777777" w:rsidR="00233C76" w:rsidRPr="00E73989" w:rsidRDefault="00233C76" w:rsidP="00233C76">
      <w:pPr>
        <w:spacing w:after="0"/>
        <w:jc w:val="both"/>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lastRenderedPageBreak/>
        <w:t xml:space="preserve">Table 1 shows the top 10 companies with the highest number of FDI projects in Ghana from January 2011 to September 2021. </w:t>
      </w:r>
      <w:r w:rsidRPr="00E73989">
        <w:rPr>
          <w:rFonts w:ascii="Helvetica" w:hAnsi="Helvetica" w:cs="Helvetica"/>
          <w:sz w:val="20"/>
          <w:szCs w:val="20"/>
        </w:rPr>
        <w:t>The top 10 companies accounted for approximately 15% of total projects</w:t>
      </w:r>
      <w:r w:rsidRPr="00E73989">
        <w:rPr>
          <w:rFonts w:ascii="Helvetica" w:eastAsia="Times New Roman" w:hAnsi="Helvetica" w:cs="Helvetica"/>
          <w:color w:val="000000"/>
          <w:sz w:val="20"/>
          <w:szCs w:val="20"/>
        </w:rPr>
        <w:t>. Access Bank tops the list with 10 projects, followed by MTN and Vodacom with 9 projects each.</w:t>
      </w:r>
    </w:p>
    <w:p w14:paraId="727F372D" w14:textId="77777777" w:rsidR="00233C76" w:rsidRPr="00E73989" w:rsidRDefault="00233C76" w:rsidP="00233C76">
      <w:pPr>
        <w:spacing w:after="0"/>
        <w:jc w:val="both"/>
        <w:rPr>
          <w:rFonts w:ascii="Helvetica" w:hAnsi="Helvetica" w:cs="Helvetica"/>
          <w:noProof/>
          <w:sz w:val="20"/>
          <w:szCs w:val="20"/>
        </w:rPr>
      </w:pPr>
    </w:p>
    <w:p w14:paraId="1574B4E8" w14:textId="6A708B84" w:rsidR="00233C76" w:rsidRPr="00E73989" w:rsidRDefault="00233C76" w:rsidP="00233C76">
      <w:pPr>
        <w:pStyle w:val="Caption"/>
        <w:keepNext/>
        <w:spacing w:after="0"/>
        <w:jc w:val="both"/>
        <w:rPr>
          <w:rFonts w:ascii="Helvetica" w:hAnsi="Helvetica" w:cs="Helvetica"/>
        </w:rPr>
      </w:pPr>
      <w:r w:rsidRPr="00E73989">
        <w:rPr>
          <w:rFonts w:ascii="Helvetica" w:hAnsi="Helvetica" w:cs="Helvetica"/>
        </w:rPr>
        <w:t xml:space="preserve">Table </w:t>
      </w:r>
      <w:r w:rsidRPr="00E73989">
        <w:rPr>
          <w:rFonts w:ascii="Helvetica" w:hAnsi="Helvetica" w:cs="Helvetica"/>
        </w:rPr>
        <w:fldChar w:fldCharType="begin"/>
      </w:r>
      <w:r w:rsidRPr="00E73989">
        <w:rPr>
          <w:rFonts w:ascii="Helvetica" w:hAnsi="Helvetica" w:cs="Helvetica"/>
        </w:rPr>
        <w:instrText xml:space="preserve"> SEQ Table \* ARABIC </w:instrText>
      </w:r>
      <w:r w:rsidRPr="00E73989">
        <w:rPr>
          <w:rFonts w:ascii="Helvetica" w:hAnsi="Helvetica" w:cs="Helvetica"/>
        </w:rPr>
        <w:fldChar w:fldCharType="separate"/>
      </w:r>
      <w:r w:rsidR="00B66D27">
        <w:rPr>
          <w:rFonts w:ascii="Helvetica" w:hAnsi="Helvetica" w:cs="Helvetica"/>
          <w:noProof/>
        </w:rPr>
        <w:t>4</w:t>
      </w:r>
      <w:r w:rsidRPr="00E73989">
        <w:rPr>
          <w:rFonts w:ascii="Helvetica" w:hAnsi="Helvetica" w:cs="Helvetica"/>
        </w:rPr>
        <w:fldChar w:fldCharType="end"/>
      </w:r>
      <w:r w:rsidRPr="00E73989">
        <w:rPr>
          <w:rFonts w:ascii="Helvetica" w:hAnsi="Helvetica" w:cs="Helvetica"/>
        </w:rPr>
        <w:t>: Top 10 companies investing in Ghana: number of projects, Jan 2011-Sep 2021</w:t>
      </w:r>
    </w:p>
    <w:p w14:paraId="394CEFFD" w14:textId="77777777" w:rsidR="00233C76" w:rsidRPr="00E73989" w:rsidRDefault="00233C76" w:rsidP="00233C76">
      <w:pPr>
        <w:spacing w:after="0"/>
        <w:jc w:val="both"/>
        <w:rPr>
          <w:rFonts w:ascii="Helvetica" w:hAnsi="Helvetica" w:cs="Helvetica"/>
        </w:rPr>
      </w:pPr>
      <w:r w:rsidRPr="00E73989">
        <w:rPr>
          <w:rFonts w:ascii="Helvetica" w:hAnsi="Helvetica" w:cs="Helvetica"/>
          <w:noProof/>
        </w:rPr>
        <w:drawing>
          <wp:inline distT="0" distB="0" distL="0" distR="0" wp14:anchorId="51FE7897" wp14:editId="2A651B50">
            <wp:extent cx="6105525" cy="2472802"/>
            <wp:effectExtent l="0" t="0" r="0" b="3810"/>
            <wp:docPr id="40" name="Picture 40" descr="C:\Users\Emmanuel\Downloads\keu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manuel\Downloads\keuhX-.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6537" t="2663"/>
                    <a:stretch/>
                  </pic:blipFill>
                  <pic:spPr bwMode="auto">
                    <a:xfrm>
                      <a:off x="0" y="0"/>
                      <a:ext cx="6120748" cy="2478967"/>
                    </a:xfrm>
                    <a:prstGeom prst="rect">
                      <a:avLst/>
                    </a:prstGeom>
                    <a:noFill/>
                    <a:ln>
                      <a:noFill/>
                    </a:ln>
                    <a:extLst>
                      <a:ext uri="{53640926-AAD7-44D8-BBD7-CCE9431645EC}">
                        <a14:shadowObscured xmlns:a14="http://schemas.microsoft.com/office/drawing/2010/main"/>
                      </a:ext>
                    </a:extLst>
                  </pic:spPr>
                </pic:pic>
              </a:graphicData>
            </a:graphic>
          </wp:inline>
        </w:drawing>
      </w:r>
    </w:p>
    <w:p w14:paraId="579F903B"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1F6D00AD" w14:textId="77777777" w:rsidR="00233C76" w:rsidRPr="00E73989" w:rsidRDefault="00233C76" w:rsidP="00233C76">
      <w:pPr>
        <w:spacing w:after="0"/>
        <w:jc w:val="both"/>
        <w:rPr>
          <w:rFonts w:ascii="Helvetica" w:hAnsi="Helvetica" w:cs="Helvetica"/>
          <w:sz w:val="20"/>
          <w:szCs w:val="20"/>
        </w:rPr>
      </w:pPr>
    </w:p>
    <w:p w14:paraId="33BFAD23" w14:textId="0B8AABC6" w:rsidR="00233C76" w:rsidRPr="00E73989" w:rsidRDefault="004D5BC0" w:rsidP="00233C76">
      <w:pPr>
        <w:pStyle w:val="Heading2"/>
        <w:numPr>
          <w:ilvl w:val="0"/>
          <w:numId w:val="0"/>
        </w:numPr>
        <w:ind w:left="426" w:hanging="426"/>
        <w:rPr>
          <w:rFonts w:cs="Helvetica"/>
          <w:b w:val="0"/>
        </w:rPr>
      </w:pPr>
      <w:bookmarkStart w:id="22" w:name="_Toc72993547"/>
      <w:bookmarkStart w:id="23" w:name="_Toc87202390"/>
      <w:r w:rsidRPr="00E73989">
        <w:rPr>
          <w:rFonts w:cs="Helvetica"/>
        </w:rPr>
        <w:t>5.2</w:t>
      </w:r>
      <w:r w:rsidRPr="00E73989">
        <w:rPr>
          <w:rFonts w:cs="Helvetica"/>
          <w:b w:val="0"/>
        </w:rPr>
        <w:tab/>
      </w:r>
      <w:r w:rsidR="00233C76" w:rsidRPr="00E73989">
        <w:t>Outward FDI from Ghana to the rest of the world</w:t>
      </w:r>
      <w:bookmarkEnd w:id="22"/>
      <w:bookmarkEnd w:id="23"/>
    </w:p>
    <w:p w14:paraId="5B61EBB5" w14:textId="77777777" w:rsidR="00233C76" w:rsidRPr="00E73989" w:rsidRDefault="00233C76" w:rsidP="00233C76">
      <w:pPr>
        <w:spacing w:before="40" w:after="40" w:line="240" w:lineRule="auto"/>
        <w:jc w:val="both"/>
        <w:rPr>
          <w:rFonts w:ascii="Helvetica" w:hAnsi="Helvetica" w:cs="Helvetica"/>
          <w:sz w:val="20"/>
          <w:szCs w:val="20"/>
        </w:rPr>
      </w:pPr>
      <w:r w:rsidRPr="00E73989">
        <w:rPr>
          <w:rFonts w:ascii="Helvetica" w:eastAsia="Times New Roman" w:hAnsi="Helvetica" w:cs="Helvetica"/>
          <w:sz w:val="20"/>
          <w:szCs w:val="20"/>
        </w:rPr>
        <w:t xml:space="preserve">Capital outflows from Ghana to the rest of the world totalled US$319.59 million during the period under consideration. These investments, which involved 36 projects, created about 1 945 jobs. </w:t>
      </w:r>
      <w:r w:rsidRPr="00E73989">
        <w:rPr>
          <w:rFonts w:ascii="Helvetica" w:hAnsi="Helvetica" w:cs="Helvetica"/>
          <w:sz w:val="20"/>
          <w:szCs w:val="20"/>
        </w:rPr>
        <w:t>The largest number of projects was announced in 2018, with seven projects that year. Average project size peaked in 2016 for both capital investment and jobs created.</w:t>
      </w:r>
    </w:p>
    <w:p w14:paraId="569C7058" w14:textId="77777777" w:rsidR="00233C76" w:rsidRPr="00E73989" w:rsidRDefault="00233C76" w:rsidP="00233C76">
      <w:pPr>
        <w:spacing w:after="0"/>
        <w:jc w:val="both"/>
        <w:rPr>
          <w:rFonts w:ascii="Helvetica" w:hAnsi="Helvetica" w:cs="Helvetica"/>
          <w:sz w:val="20"/>
          <w:szCs w:val="20"/>
        </w:rPr>
      </w:pPr>
    </w:p>
    <w:p w14:paraId="4A8EC7E5" w14:textId="4DC4D7C5" w:rsidR="00233C76" w:rsidRPr="00E73989" w:rsidRDefault="00233C76" w:rsidP="00233C76">
      <w:pPr>
        <w:pStyle w:val="Caption"/>
        <w:keepNext/>
        <w:spacing w:after="0"/>
        <w:jc w:val="both"/>
        <w:rPr>
          <w:rFonts w:ascii="Helvetica" w:hAnsi="Helvetica" w:cs="Helvetica"/>
        </w:rPr>
      </w:pPr>
      <w:r w:rsidRPr="00E73989">
        <w:rPr>
          <w:rFonts w:ascii="Helvetica" w:hAnsi="Helvetica" w:cs="Helvetica"/>
        </w:rPr>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22</w:t>
      </w:r>
      <w:r w:rsidRPr="00E73989">
        <w:rPr>
          <w:rFonts w:ascii="Helvetica" w:hAnsi="Helvetica" w:cs="Helvetica"/>
        </w:rPr>
        <w:fldChar w:fldCharType="end"/>
      </w:r>
      <w:r w:rsidRPr="00E73989">
        <w:rPr>
          <w:rFonts w:ascii="Helvetica" w:hAnsi="Helvetica" w:cs="Helvetica"/>
        </w:rPr>
        <w:t>: Outward FDI from Ghana to the rest of the world, Jan 2011-Sep 2021</w:t>
      </w:r>
    </w:p>
    <w:p w14:paraId="6297738E" w14:textId="77777777" w:rsidR="00233C76" w:rsidRPr="00E73989" w:rsidRDefault="00233C76" w:rsidP="00233C76">
      <w:pPr>
        <w:spacing w:after="0"/>
        <w:jc w:val="both"/>
        <w:rPr>
          <w:rFonts w:ascii="Helvetica" w:hAnsi="Helvetica" w:cs="Helvetica"/>
          <w:sz w:val="20"/>
          <w:szCs w:val="20"/>
        </w:rPr>
      </w:pPr>
      <w:r w:rsidRPr="00E73989">
        <w:rPr>
          <w:rFonts w:ascii="Helvetica" w:hAnsi="Helvetica" w:cs="Helvetica"/>
          <w:noProof/>
          <w:sz w:val="20"/>
          <w:szCs w:val="20"/>
        </w:rPr>
        <w:drawing>
          <wp:inline distT="0" distB="0" distL="0" distR="0" wp14:anchorId="03D59978" wp14:editId="346D360F">
            <wp:extent cx="6120130" cy="1753444"/>
            <wp:effectExtent l="0" t="0" r="0" b="0"/>
            <wp:docPr id="41" name="Picture 41" descr="C:\Users\Emmanuel\Downloads\irx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manuel\Downloads\irx3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1753444"/>
                    </a:xfrm>
                    <a:prstGeom prst="rect">
                      <a:avLst/>
                    </a:prstGeom>
                    <a:noFill/>
                    <a:ln>
                      <a:noFill/>
                    </a:ln>
                  </pic:spPr>
                </pic:pic>
              </a:graphicData>
            </a:graphic>
          </wp:inline>
        </w:drawing>
      </w:r>
    </w:p>
    <w:p w14:paraId="673906D8"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11C87AC4" w14:textId="77777777" w:rsidR="00233C76" w:rsidRPr="00E73989" w:rsidRDefault="00233C76" w:rsidP="00233C76">
      <w:pPr>
        <w:spacing w:after="0"/>
        <w:rPr>
          <w:rFonts w:ascii="Helvetica" w:hAnsi="Helvetica" w:cs="Helvetica"/>
          <w:sz w:val="20"/>
          <w:szCs w:val="20"/>
        </w:rPr>
      </w:pPr>
    </w:p>
    <w:p w14:paraId="531A7310" w14:textId="77777777" w:rsidR="00233C76" w:rsidRPr="00E73989" w:rsidRDefault="00233C76" w:rsidP="00233C76">
      <w:pPr>
        <w:spacing w:after="0"/>
        <w:rPr>
          <w:rFonts w:ascii="Helvetica" w:hAnsi="Helvetica" w:cs="Helvetica"/>
          <w:sz w:val="20"/>
          <w:szCs w:val="20"/>
        </w:rPr>
      </w:pPr>
      <w:r w:rsidRPr="00E73989">
        <w:rPr>
          <w:rFonts w:ascii="Helvetica" w:hAnsi="Helvetica" w:cs="Helvetica"/>
          <w:sz w:val="20"/>
          <w:szCs w:val="20"/>
        </w:rPr>
        <w:t>Africa was the largest destination region for outward FDI from Ghana as illustrated in Figure 7. The African continent accounted for 58% of projects and 72% of capex.</w:t>
      </w:r>
    </w:p>
    <w:p w14:paraId="38BD200E" w14:textId="693B4DC9" w:rsidR="00233C76" w:rsidRPr="00E73989" w:rsidRDefault="00233C76" w:rsidP="004D5BC0">
      <w:pPr>
        <w:pStyle w:val="Caption"/>
        <w:keepNext/>
        <w:spacing w:after="0"/>
        <w:ind w:left="720" w:firstLine="720"/>
        <w:rPr>
          <w:rFonts w:ascii="Helvetica" w:hAnsi="Helvetica" w:cs="Helvetica"/>
        </w:rPr>
      </w:pPr>
      <w:r w:rsidRPr="00E73989">
        <w:rPr>
          <w:rFonts w:ascii="Helvetica" w:hAnsi="Helvetica" w:cs="Helvetica"/>
        </w:rPr>
        <w:lastRenderedPageBreak/>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23</w:t>
      </w:r>
      <w:r w:rsidRPr="00E73989">
        <w:rPr>
          <w:rFonts w:ascii="Helvetica" w:hAnsi="Helvetica" w:cs="Helvetica"/>
        </w:rPr>
        <w:fldChar w:fldCharType="end"/>
      </w:r>
      <w:r w:rsidRPr="00E73989">
        <w:rPr>
          <w:rFonts w:ascii="Helvetica" w:hAnsi="Helvetica" w:cs="Helvetica"/>
        </w:rPr>
        <w:t>: Outward FDI from Ghana: by world regions, Jan 2011-Sep 2021</w:t>
      </w:r>
    </w:p>
    <w:p w14:paraId="4A837A7F" w14:textId="77777777" w:rsidR="00233C76" w:rsidRPr="00E73989" w:rsidRDefault="00233C76" w:rsidP="00233C76">
      <w:pPr>
        <w:spacing w:after="0"/>
        <w:jc w:val="center"/>
        <w:rPr>
          <w:rFonts w:ascii="Helvetica" w:hAnsi="Helvetica" w:cs="Helvetica"/>
          <w:sz w:val="20"/>
          <w:szCs w:val="20"/>
        </w:rPr>
      </w:pPr>
      <w:r w:rsidRPr="00E73989">
        <w:rPr>
          <w:rFonts w:ascii="Helvetica" w:hAnsi="Helvetica" w:cs="Helvetica"/>
          <w:noProof/>
          <w:sz w:val="20"/>
          <w:szCs w:val="20"/>
        </w:rPr>
        <w:drawing>
          <wp:inline distT="0" distB="0" distL="0" distR="0" wp14:anchorId="5CBFB065" wp14:editId="3AD8C2BE">
            <wp:extent cx="4440694" cy="2087592"/>
            <wp:effectExtent l="0" t="0" r="0" b="8255"/>
            <wp:docPr id="42" name="Picture 42" descr="C:\Users\Emmanuel\Downloads\irx3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manuel\Downloads\irx3a- (1).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2706"/>
                    <a:stretch/>
                  </pic:blipFill>
                  <pic:spPr bwMode="auto">
                    <a:xfrm>
                      <a:off x="0" y="0"/>
                      <a:ext cx="4525666" cy="2127538"/>
                    </a:xfrm>
                    <a:prstGeom prst="rect">
                      <a:avLst/>
                    </a:prstGeom>
                    <a:noFill/>
                    <a:ln>
                      <a:noFill/>
                    </a:ln>
                    <a:extLst>
                      <a:ext uri="{53640926-AAD7-44D8-BBD7-CCE9431645EC}">
                        <a14:shadowObscured xmlns:a14="http://schemas.microsoft.com/office/drawing/2010/main"/>
                      </a:ext>
                    </a:extLst>
                  </pic:spPr>
                </pic:pic>
              </a:graphicData>
            </a:graphic>
          </wp:inline>
        </w:drawing>
      </w:r>
    </w:p>
    <w:p w14:paraId="30FF49EE" w14:textId="77777777" w:rsidR="00233C76" w:rsidRPr="00E73989" w:rsidRDefault="00233C76" w:rsidP="004D5BC0">
      <w:pPr>
        <w:spacing w:after="0"/>
        <w:ind w:left="720" w:firstLine="720"/>
        <w:rPr>
          <w:rFonts w:ascii="Helvetica" w:hAnsi="Helvetica" w:cs="Helvetica"/>
          <w:i/>
          <w:sz w:val="16"/>
          <w:szCs w:val="16"/>
        </w:rPr>
      </w:pPr>
      <w:r w:rsidRPr="00E73989">
        <w:rPr>
          <w:rFonts w:ascii="Helvetica" w:hAnsi="Helvetica" w:cs="Helvetica"/>
          <w:i/>
          <w:sz w:val="16"/>
          <w:szCs w:val="16"/>
        </w:rPr>
        <w:t>Source: FDI Intelligence (2021)</w:t>
      </w:r>
    </w:p>
    <w:p w14:paraId="4CC40999" w14:textId="65469A7C" w:rsidR="00233C76" w:rsidRPr="00E73989" w:rsidRDefault="00233C76" w:rsidP="00233C76">
      <w:pPr>
        <w:spacing w:after="0"/>
        <w:rPr>
          <w:rFonts w:ascii="Helvetica" w:hAnsi="Helvetica" w:cs="Helvetica"/>
          <w:sz w:val="20"/>
          <w:szCs w:val="20"/>
        </w:rPr>
      </w:pPr>
    </w:p>
    <w:p w14:paraId="6588FDDA" w14:textId="51307CC6" w:rsidR="00632B93" w:rsidRPr="00E73989" w:rsidRDefault="00632B93" w:rsidP="00632B93">
      <w:pPr>
        <w:spacing w:after="0"/>
        <w:jc w:val="both"/>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 xml:space="preserve">In terms of capex, outward FDI from Ghana was the largest in Nigeria (US$66.7 m), followed by Cote d’Ivoire (US$35.4 m) and South Africa (US$29.3 m) during the period under review. </w:t>
      </w:r>
      <w:r w:rsidR="000E184B" w:rsidRPr="00E73989">
        <w:rPr>
          <w:rFonts w:ascii="Helvetica" w:eastAsia="Times New Roman" w:hAnsi="Helvetica" w:cs="Helvetica"/>
          <w:color w:val="000000"/>
          <w:sz w:val="20"/>
          <w:szCs w:val="20"/>
        </w:rPr>
        <w:t>Seven of the top 10 countries that received the largest capex from Ghana are from the African continent.</w:t>
      </w:r>
      <w:r w:rsidRPr="00E73989">
        <w:rPr>
          <w:rFonts w:ascii="Helvetica" w:eastAsia="Times New Roman" w:hAnsi="Helvetica" w:cs="Helvetica"/>
          <w:color w:val="000000"/>
          <w:sz w:val="20"/>
          <w:szCs w:val="20"/>
        </w:rPr>
        <w:t xml:space="preserve"> The top 3 countries that received the highest nu</w:t>
      </w:r>
      <w:r w:rsidR="000E184B" w:rsidRPr="00E73989">
        <w:rPr>
          <w:rFonts w:ascii="Helvetica" w:eastAsia="Times New Roman" w:hAnsi="Helvetica" w:cs="Helvetica"/>
          <w:color w:val="000000"/>
          <w:sz w:val="20"/>
          <w:szCs w:val="20"/>
        </w:rPr>
        <w:t>mber of FDI projects from Ghana</w:t>
      </w:r>
      <w:r w:rsidRPr="00E73989">
        <w:rPr>
          <w:rFonts w:ascii="Helvetica" w:eastAsia="Times New Roman" w:hAnsi="Helvetica" w:cs="Helvetica"/>
          <w:color w:val="000000"/>
          <w:sz w:val="20"/>
          <w:szCs w:val="20"/>
        </w:rPr>
        <w:t xml:space="preserve"> were </w:t>
      </w:r>
      <w:r w:rsidR="000E184B" w:rsidRPr="00E73989">
        <w:rPr>
          <w:rFonts w:ascii="Helvetica" w:eastAsia="Times New Roman" w:hAnsi="Helvetica" w:cs="Helvetica"/>
          <w:color w:val="000000"/>
          <w:sz w:val="20"/>
          <w:szCs w:val="20"/>
        </w:rPr>
        <w:t>Nigeria (13</w:t>
      </w:r>
      <w:r w:rsidRPr="00E73989">
        <w:rPr>
          <w:rFonts w:ascii="Helvetica" w:eastAsia="Times New Roman" w:hAnsi="Helvetica" w:cs="Helvetica"/>
          <w:color w:val="000000"/>
          <w:sz w:val="20"/>
          <w:szCs w:val="20"/>
        </w:rPr>
        <w:t>.</w:t>
      </w:r>
      <w:r w:rsidR="000E184B" w:rsidRPr="00E73989">
        <w:rPr>
          <w:rFonts w:ascii="Helvetica" w:eastAsia="Times New Roman" w:hAnsi="Helvetica" w:cs="Helvetica"/>
          <w:color w:val="000000"/>
          <w:sz w:val="20"/>
          <w:szCs w:val="20"/>
        </w:rPr>
        <w:t>89%), South Africa (11</w:t>
      </w:r>
      <w:r w:rsidRPr="00E73989">
        <w:rPr>
          <w:rFonts w:ascii="Helvetica" w:eastAsia="Times New Roman" w:hAnsi="Helvetica" w:cs="Helvetica"/>
          <w:color w:val="000000"/>
          <w:sz w:val="20"/>
          <w:szCs w:val="20"/>
        </w:rPr>
        <w:t>.</w:t>
      </w:r>
      <w:r w:rsidR="000E184B" w:rsidRPr="00E73989">
        <w:rPr>
          <w:rFonts w:ascii="Helvetica" w:eastAsia="Times New Roman" w:hAnsi="Helvetica" w:cs="Helvetica"/>
          <w:color w:val="000000"/>
          <w:sz w:val="20"/>
          <w:szCs w:val="20"/>
        </w:rPr>
        <w:t>11</w:t>
      </w:r>
      <w:r w:rsidRPr="00E73989">
        <w:rPr>
          <w:rFonts w:ascii="Helvetica" w:eastAsia="Times New Roman" w:hAnsi="Helvetica" w:cs="Helvetica"/>
          <w:color w:val="000000"/>
          <w:sz w:val="20"/>
          <w:szCs w:val="20"/>
        </w:rPr>
        <w:t xml:space="preserve">%) and </w:t>
      </w:r>
      <w:r w:rsidR="000E184B" w:rsidRPr="00E73989">
        <w:rPr>
          <w:rFonts w:ascii="Helvetica" w:eastAsia="Times New Roman" w:hAnsi="Helvetica" w:cs="Helvetica"/>
          <w:color w:val="000000"/>
          <w:sz w:val="20"/>
          <w:szCs w:val="20"/>
        </w:rPr>
        <w:t>the United States</w:t>
      </w:r>
      <w:r w:rsidRPr="00E73989">
        <w:rPr>
          <w:rFonts w:ascii="Helvetica" w:eastAsia="Times New Roman" w:hAnsi="Helvetica" w:cs="Helvetica"/>
          <w:color w:val="000000"/>
          <w:sz w:val="20"/>
          <w:szCs w:val="20"/>
        </w:rPr>
        <w:t xml:space="preserve"> (</w:t>
      </w:r>
      <w:r w:rsidR="000E184B" w:rsidRPr="00E73989">
        <w:rPr>
          <w:rFonts w:ascii="Helvetica" w:eastAsia="Times New Roman" w:hAnsi="Helvetica" w:cs="Helvetica"/>
          <w:color w:val="000000"/>
          <w:sz w:val="20"/>
          <w:szCs w:val="20"/>
        </w:rPr>
        <w:t>11</w:t>
      </w:r>
      <w:r w:rsidRPr="00E73989">
        <w:rPr>
          <w:rFonts w:ascii="Helvetica" w:eastAsia="Times New Roman" w:hAnsi="Helvetica" w:cs="Helvetica"/>
          <w:color w:val="000000"/>
          <w:sz w:val="20"/>
          <w:szCs w:val="20"/>
        </w:rPr>
        <w:t>.</w:t>
      </w:r>
      <w:r w:rsidR="000E184B" w:rsidRPr="00E73989">
        <w:rPr>
          <w:rFonts w:ascii="Helvetica" w:eastAsia="Times New Roman" w:hAnsi="Helvetica" w:cs="Helvetica"/>
          <w:color w:val="000000"/>
          <w:sz w:val="20"/>
          <w:szCs w:val="20"/>
        </w:rPr>
        <w:t>11</w:t>
      </w:r>
      <w:r w:rsidRPr="00E73989">
        <w:rPr>
          <w:rFonts w:ascii="Helvetica" w:eastAsia="Times New Roman" w:hAnsi="Helvetica" w:cs="Helvetica"/>
          <w:color w:val="000000"/>
          <w:sz w:val="20"/>
          <w:szCs w:val="20"/>
        </w:rPr>
        <w:t>%).</w:t>
      </w:r>
    </w:p>
    <w:p w14:paraId="60A161A2" w14:textId="77777777" w:rsidR="00632B93" w:rsidRPr="00E73989" w:rsidRDefault="00632B93" w:rsidP="00233C76">
      <w:pPr>
        <w:spacing w:after="0"/>
        <w:rPr>
          <w:rFonts w:ascii="Helvetica" w:hAnsi="Helvetica" w:cs="Helvetica"/>
          <w:sz w:val="20"/>
          <w:szCs w:val="20"/>
        </w:rPr>
      </w:pPr>
    </w:p>
    <w:p w14:paraId="17B12021" w14:textId="73AADEB3" w:rsidR="00233C76" w:rsidRPr="00E73989" w:rsidRDefault="00233C76" w:rsidP="00233C76">
      <w:pPr>
        <w:pStyle w:val="Caption"/>
        <w:keepNext/>
        <w:spacing w:after="0"/>
        <w:rPr>
          <w:rFonts w:ascii="Helvetica" w:hAnsi="Helvetica" w:cs="Helvetica"/>
        </w:rPr>
      </w:pPr>
      <w:r w:rsidRPr="00E73989">
        <w:rPr>
          <w:rFonts w:ascii="Helvetica" w:hAnsi="Helvetica" w:cs="Helvetica"/>
        </w:rPr>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24</w:t>
      </w:r>
      <w:r w:rsidRPr="00E73989">
        <w:rPr>
          <w:rFonts w:ascii="Helvetica" w:hAnsi="Helvetica" w:cs="Helvetica"/>
        </w:rPr>
        <w:fldChar w:fldCharType="end"/>
      </w:r>
      <w:r w:rsidRPr="00E73989">
        <w:rPr>
          <w:rFonts w:ascii="Helvetica" w:hAnsi="Helvetica" w:cs="Helvetica"/>
        </w:rPr>
        <w:t>: Top 10 destination markets for outward FDI from Ghana, Jan 2011-Sep 2020</w:t>
      </w:r>
    </w:p>
    <w:p w14:paraId="012A5AE6"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noProof/>
          <w:sz w:val="20"/>
          <w:szCs w:val="20"/>
        </w:rPr>
        <w:drawing>
          <wp:anchor distT="0" distB="0" distL="114300" distR="114300" simplePos="0" relativeHeight="251759616" behindDoc="0" locked="0" layoutInCell="1" allowOverlap="1" wp14:anchorId="43950A09" wp14:editId="47AECD64">
            <wp:simplePos x="0" y="0"/>
            <wp:positionH relativeFrom="column">
              <wp:posOffset>3128010</wp:posOffset>
            </wp:positionH>
            <wp:positionV relativeFrom="paragraph">
              <wp:posOffset>5080</wp:posOffset>
            </wp:positionV>
            <wp:extent cx="2976245" cy="1971675"/>
            <wp:effectExtent l="0" t="0" r="0" b="9525"/>
            <wp:wrapSquare wrapText="bothSides"/>
            <wp:docPr id="13" name="Picture 13" descr="C:\Users\Emmanuel\Downloads\irx3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manuel\Downloads\irx3a- (3).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57" t="10044" r="1628"/>
                    <a:stretch/>
                  </pic:blipFill>
                  <pic:spPr bwMode="auto">
                    <a:xfrm>
                      <a:off x="0" y="0"/>
                      <a:ext cx="2976245" cy="1971675"/>
                    </a:xfrm>
                    <a:prstGeom prst="rect">
                      <a:avLst/>
                    </a:prstGeom>
                    <a:noFill/>
                    <a:ln>
                      <a:noFill/>
                    </a:ln>
                    <a:extLst>
                      <a:ext uri="{53640926-AAD7-44D8-BBD7-CCE9431645EC}">
                        <a14:shadowObscured xmlns:a14="http://schemas.microsoft.com/office/drawing/2010/main"/>
                      </a:ext>
                    </a:extLst>
                  </pic:spPr>
                </pic:pic>
              </a:graphicData>
            </a:graphic>
          </wp:anchor>
        </w:drawing>
      </w:r>
      <w:r w:rsidRPr="00E73989">
        <w:rPr>
          <w:rFonts w:ascii="Helvetica" w:hAnsi="Helvetica" w:cs="Helvetica"/>
          <w:noProof/>
          <w:sz w:val="20"/>
          <w:szCs w:val="20"/>
        </w:rPr>
        <w:drawing>
          <wp:inline distT="0" distB="0" distL="0" distR="0" wp14:anchorId="180A522B" wp14:editId="5EFEF11E">
            <wp:extent cx="3009320" cy="1976755"/>
            <wp:effectExtent l="0" t="0" r="635" b="4445"/>
            <wp:docPr id="43" name="Picture 43" descr="C:\Users\Emmanuel\Downloads\irx3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manuel\Downloads\irx3a- (2).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1401" t="480" r="1471"/>
                    <a:stretch/>
                  </pic:blipFill>
                  <pic:spPr bwMode="auto">
                    <a:xfrm>
                      <a:off x="0" y="0"/>
                      <a:ext cx="3035291" cy="1993815"/>
                    </a:xfrm>
                    <a:prstGeom prst="rect">
                      <a:avLst/>
                    </a:prstGeom>
                    <a:noFill/>
                    <a:ln>
                      <a:noFill/>
                    </a:ln>
                    <a:extLst>
                      <a:ext uri="{53640926-AAD7-44D8-BBD7-CCE9431645EC}">
                        <a14:shadowObscured xmlns:a14="http://schemas.microsoft.com/office/drawing/2010/main"/>
                      </a:ext>
                    </a:extLst>
                  </pic:spPr>
                </pic:pic>
              </a:graphicData>
            </a:graphic>
          </wp:inline>
        </w:drawing>
      </w:r>
      <w:r w:rsidRPr="00E73989">
        <w:rPr>
          <w:rFonts w:ascii="Helvetica" w:hAnsi="Helvetica" w:cs="Helvetica"/>
          <w:i/>
          <w:sz w:val="16"/>
          <w:szCs w:val="16"/>
        </w:rPr>
        <w:t>Source: FDI Intelligence (2021)</w:t>
      </w:r>
    </w:p>
    <w:p w14:paraId="50EDD2EA" w14:textId="48259B70" w:rsidR="00233C76" w:rsidRPr="00E73989" w:rsidRDefault="00233C76" w:rsidP="00233C76">
      <w:pPr>
        <w:spacing w:after="0"/>
        <w:rPr>
          <w:rFonts w:ascii="Helvetica" w:hAnsi="Helvetica" w:cs="Helvetica"/>
          <w:sz w:val="20"/>
          <w:szCs w:val="20"/>
        </w:rPr>
      </w:pPr>
    </w:p>
    <w:p w14:paraId="7BDD4883" w14:textId="36C9C605" w:rsidR="00B9739A" w:rsidRPr="00E73989" w:rsidRDefault="00B9739A" w:rsidP="00B9739A">
      <w:pPr>
        <w:tabs>
          <w:tab w:val="left" w:pos="142"/>
        </w:tabs>
        <w:spacing w:after="0"/>
        <w:jc w:val="both"/>
        <w:rPr>
          <w:rFonts w:ascii="Helvetica" w:hAnsi="Helvetica" w:cs="Helvetica"/>
          <w:sz w:val="20"/>
          <w:szCs w:val="20"/>
        </w:rPr>
      </w:pPr>
      <w:r w:rsidRPr="00E73989">
        <w:rPr>
          <w:rFonts w:ascii="Helvetica" w:hAnsi="Helvetica" w:cs="Helvetica"/>
          <w:sz w:val="20"/>
          <w:szCs w:val="20"/>
        </w:rPr>
        <w:t>About 22% of capex that emanated from Ghana to the rest of the world between January 2011 and September 2021 were made in the financial services industry, followed by communications (19.02%) and business services (17.83%). In terms of the number of outward FDI project, communications (19.44%) and financial services (19.44%) were the leading industries, followed by business services (13.89%).</w:t>
      </w:r>
    </w:p>
    <w:p w14:paraId="65C8E95B" w14:textId="77777777" w:rsidR="00B9739A" w:rsidRPr="00E73989" w:rsidRDefault="00B9739A" w:rsidP="00233C76">
      <w:pPr>
        <w:spacing w:after="0"/>
        <w:rPr>
          <w:rFonts w:ascii="Helvetica" w:hAnsi="Helvetica" w:cs="Helvetica"/>
          <w:sz w:val="20"/>
          <w:szCs w:val="20"/>
        </w:rPr>
      </w:pPr>
    </w:p>
    <w:p w14:paraId="4EC13F0A" w14:textId="7643A4D7" w:rsidR="00233C76" w:rsidRPr="00E73989" w:rsidRDefault="00233C76" w:rsidP="00233C76">
      <w:pPr>
        <w:pStyle w:val="Caption"/>
        <w:keepNext/>
        <w:spacing w:after="0"/>
        <w:rPr>
          <w:rFonts w:ascii="Helvetica" w:hAnsi="Helvetica" w:cs="Helvetica"/>
        </w:rPr>
      </w:pPr>
      <w:r w:rsidRPr="00E73989">
        <w:rPr>
          <w:rFonts w:ascii="Helvetica" w:hAnsi="Helvetica" w:cs="Helvetica"/>
        </w:rPr>
        <w:lastRenderedPageBreak/>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25</w:t>
      </w:r>
      <w:r w:rsidRPr="00E73989">
        <w:rPr>
          <w:rFonts w:ascii="Helvetica" w:hAnsi="Helvetica" w:cs="Helvetica"/>
        </w:rPr>
        <w:fldChar w:fldCharType="end"/>
      </w:r>
      <w:r w:rsidRPr="00E73989">
        <w:rPr>
          <w:rFonts w:ascii="Helvetica" w:hAnsi="Helvetica" w:cs="Helvetica"/>
        </w:rPr>
        <w:t>: Outward FDI from Ghana: by sectors, Jan 2011-Sep 2021</w:t>
      </w:r>
    </w:p>
    <w:p w14:paraId="669C3461" w14:textId="77777777" w:rsidR="00233C76" w:rsidRPr="00E73989" w:rsidRDefault="00233C76" w:rsidP="00233C76">
      <w:pPr>
        <w:spacing w:after="0"/>
        <w:rPr>
          <w:rFonts w:ascii="Helvetica" w:hAnsi="Helvetica" w:cs="Helvetica"/>
          <w:sz w:val="20"/>
          <w:szCs w:val="20"/>
        </w:rPr>
      </w:pPr>
      <w:r w:rsidRPr="00E73989">
        <w:rPr>
          <w:rFonts w:ascii="Helvetica" w:hAnsi="Helvetica" w:cs="Helvetica"/>
          <w:noProof/>
          <w:sz w:val="20"/>
          <w:szCs w:val="20"/>
        </w:rPr>
        <w:drawing>
          <wp:inline distT="0" distB="0" distL="0" distR="0" wp14:anchorId="75750042" wp14:editId="2497E78D">
            <wp:extent cx="3044639" cy="2019300"/>
            <wp:effectExtent l="0" t="0" r="3810" b="0"/>
            <wp:docPr id="45" name="Picture 45" descr="C:\Users\Emmanuel\Downloads\irx3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manuel\Downloads\irx3a- (5).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1712" r="1627"/>
                    <a:stretch/>
                  </pic:blipFill>
                  <pic:spPr bwMode="auto">
                    <a:xfrm>
                      <a:off x="0" y="0"/>
                      <a:ext cx="3057941" cy="2028122"/>
                    </a:xfrm>
                    <a:prstGeom prst="rect">
                      <a:avLst/>
                    </a:prstGeom>
                    <a:noFill/>
                    <a:ln>
                      <a:noFill/>
                    </a:ln>
                    <a:extLst>
                      <a:ext uri="{53640926-AAD7-44D8-BBD7-CCE9431645EC}">
                        <a14:shadowObscured xmlns:a14="http://schemas.microsoft.com/office/drawing/2010/main"/>
                      </a:ext>
                    </a:extLst>
                  </pic:spPr>
                </pic:pic>
              </a:graphicData>
            </a:graphic>
          </wp:inline>
        </w:drawing>
      </w:r>
      <w:r w:rsidRPr="00E73989">
        <w:rPr>
          <w:rFonts w:ascii="Helvetica" w:hAnsi="Helvetica" w:cs="Helvetica"/>
          <w:noProof/>
          <w:sz w:val="20"/>
          <w:szCs w:val="20"/>
        </w:rPr>
        <w:drawing>
          <wp:inline distT="0" distB="0" distL="0" distR="0" wp14:anchorId="729AE48F" wp14:editId="3B3F4812">
            <wp:extent cx="3035342" cy="2000250"/>
            <wp:effectExtent l="0" t="0" r="0" b="0"/>
            <wp:docPr id="14" name="Picture 14" descr="C:\Users\Emmanuel\Downloads\irx3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manuel\Downloads\irx3a- (4).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1401" r="1315"/>
                    <a:stretch/>
                  </pic:blipFill>
                  <pic:spPr bwMode="auto">
                    <a:xfrm>
                      <a:off x="0" y="0"/>
                      <a:ext cx="3035342" cy="2000250"/>
                    </a:xfrm>
                    <a:prstGeom prst="rect">
                      <a:avLst/>
                    </a:prstGeom>
                    <a:noFill/>
                    <a:ln>
                      <a:noFill/>
                    </a:ln>
                    <a:extLst>
                      <a:ext uri="{53640926-AAD7-44D8-BBD7-CCE9431645EC}">
                        <a14:shadowObscured xmlns:a14="http://schemas.microsoft.com/office/drawing/2010/main"/>
                      </a:ext>
                    </a:extLst>
                  </pic:spPr>
                </pic:pic>
              </a:graphicData>
            </a:graphic>
          </wp:inline>
        </w:drawing>
      </w:r>
    </w:p>
    <w:p w14:paraId="11924D99"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06021C12" w14:textId="44595D44" w:rsidR="00233C76" w:rsidRPr="00E73989" w:rsidRDefault="00233C76" w:rsidP="00233C76">
      <w:pPr>
        <w:spacing w:after="0"/>
        <w:rPr>
          <w:rFonts w:ascii="Helvetica" w:hAnsi="Helvetica" w:cs="Helvetica"/>
          <w:sz w:val="20"/>
          <w:szCs w:val="20"/>
        </w:rPr>
      </w:pPr>
    </w:p>
    <w:p w14:paraId="5608F9C8" w14:textId="17AF3346" w:rsidR="002C2DA7" w:rsidRPr="00E73989" w:rsidRDefault="002C2DA7" w:rsidP="002C2DA7">
      <w:pPr>
        <w:spacing w:before="40" w:after="40" w:line="240" w:lineRule="auto"/>
        <w:jc w:val="both"/>
        <w:rPr>
          <w:rFonts w:ascii="Helvetica" w:hAnsi="Helvetica" w:cs="Helvetica"/>
          <w:sz w:val="20"/>
          <w:szCs w:val="20"/>
        </w:rPr>
      </w:pPr>
      <w:r w:rsidRPr="00E73989">
        <w:rPr>
          <w:rFonts w:ascii="Helvetica" w:hAnsi="Helvetica" w:cs="Helvetica"/>
          <w:sz w:val="20"/>
          <w:szCs w:val="20"/>
        </w:rPr>
        <w:t>Out of a total 77,932 companies investing in FDI globally between January 2011 and September 2021, 20 were from. The number of companies from Ghana investing in FDI globally peaked in 2019 as shown in Figure 10.</w:t>
      </w:r>
    </w:p>
    <w:p w14:paraId="335BE4B4" w14:textId="77777777" w:rsidR="002C2DA7" w:rsidRPr="00E73989" w:rsidRDefault="002C2DA7" w:rsidP="002C2DA7">
      <w:pPr>
        <w:spacing w:after="0"/>
        <w:jc w:val="both"/>
        <w:rPr>
          <w:rFonts w:ascii="Helvetica" w:hAnsi="Helvetica" w:cs="Helvetica"/>
          <w:sz w:val="20"/>
          <w:szCs w:val="20"/>
        </w:rPr>
      </w:pPr>
    </w:p>
    <w:p w14:paraId="19FB80A2" w14:textId="466E8554" w:rsidR="00233C76" w:rsidRPr="00E73989" w:rsidRDefault="00233C76" w:rsidP="00233C76">
      <w:pPr>
        <w:pStyle w:val="Caption"/>
        <w:keepNext/>
        <w:spacing w:after="0"/>
        <w:rPr>
          <w:rFonts w:ascii="Helvetica" w:hAnsi="Helvetica" w:cs="Helvetica"/>
        </w:rPr>
      </w:pPr>
      <w:r w:rsidRPr="00E73989">
        <w:rPr>
          <w:rFonts w:ascii="Helvetica" w:hAnsi="Helvetica" w:cs="Helvetica"/>
        </w:rPr>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26</w:t>
      </w:r>
      <w:r w:rsidRPr="00E73989">
        <w:rPr>
          <w:rFonts w:ascii="Helvetica" w:hAnsi="Helvetica" w:cs="Helvetica"/>
        </w:rPr>
        <w:fldChar w:fldCharType="end"/>
      </w:r>
      <w:r w:rsidRPr="00E73989">
        <w:rPr>
          <w:rFonts w:ascii="Helvetica" w:hAnsi="Helvetica" w:cs="Helvetica"/>
        </w:rPr>
        <w:t>: Number of Ghanaian companies investing in the rest of the world, Jan 2011-Sep 2021</w:t>
      </w:r>
    </w:p>
    <w:p w14:paraId="60829320" w14:textId="77777777" w:rsidR="00233C76" w:rsidRPr="00E73989" w:rsidRDefault="00233C76" w:rsidP="00233C76">
      <w:pPr>
        <w:spacing w:after="0"/>
        <w:rPr>
          <w:rFonts w:ascii="Helvetica" w:hAnsi="Helvetica" w:cs="Helvetica"/>
          <w:sz w:val="20"/>
          <w:szCs w:val="20"/>
        </w:rPr>
      </w:pPr>
      <w:r w:rsidRPr="00E73989">
        <w:rPr>
          <w:rFonts w:ascii="Arial" w:hAnsi="Arial" w:cs="Arial"/>
          <w:noProof/>
        </w:rPr>
        <w:drawing>
          <wp:inline distT="0" distB="0" distL="0" distR="0" wp14:anchorId="05BCB9C7" wp14:editId="342FB59A">
            <wp:extent cx="5731200" cy="2246630"/>
            <wp:effectExtent l="0" t="0" r="3175"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C532F62"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6E4D86A2" w14:textId="6C8DAA90" w:rsidR="00233C76" w:rsidRPr="00E73989" w:rsidRDefault="00233C76" w:rsidP="00233C76">
      <w:pPr>
        <w:spacing w:after="0"/>
        <w:rPr>
          <w:rFonts w:ascii="Helvetica" w:hAnsi="Helvetica" w:cs="Helvetica"/>
          <w:sz w:val="20"/>
          <w:szCs w:val="20"/>
        </w:rPr>
      </w:pPr>
    </w:p>
    <w:p w14:paraId="30851F42" w14:textId="73427D43" w:rsidR="00206F46" w:rsidRPr="00E73989" w:rsidRDefault="00206F46" w:rsidP="00206F46">
      <w:pPr>
        <w:spacing w:after="0"/>
        <w:jc w:val="both"/>
        <w:rPr>
          <w:rFonts w:ascii="Helvetica" w:eastAsia="Times New Roman" w:hAnsi="Helvetica" w:cs="Helvetica"/>
          <w:color w:val="000000" w:themeColor="text1"/>
          <w:sz w:val="20"/>
          <w:szCs w:val="20"/>
        </w:rPr>
      </w:pPr>
      <w:r w:rsidRPr="00E73989">
        <w:rPr>
          <w:rFonts w:ascii="Helvetica" w:eastAsia="Times New Roman" w:hAnsi="Helvetica" w:cs="Helvetica"/>
          <w:color w:val="000000" w:themeColor="text1"/>
          <w:sz w:val="20"/>
          <w:szCs w:val="20"/>
        </w:rPr>
        <w:t>With 6 FDI projects, rLG Communications topped the list of the leading 10 companies from Ghana that invested in the rest of the world between January 2011 and September 2021. Menzgold (4 projects), ASFD (3 projects), GIHOC Distilleries (3 projects) and the Association of African Universities Corporation (3 project) completed the list of the top 5 Ghanaian companies with the highest number of FDI projects across the globe during the period under review.</w:t>
      </w:r>
    </w:p>
    <w:p w14:paraId="11D54E20" w14:textId="77777777" w:rsidR="00206F46" w:rsidRPr="00E73989" w:rsidRDefault="00206F46" w:rsidP="00233C76">
      <w:pPr>
        <w:spacing w:after="0"/>
        <w:rPr>
          <w:rFonts w:ascii="Helvetica" w:hAnsi="Helvetica" w:cs="Helvetica"/>
          <w:sz w:val="20"/>
          <w:szCs w:val="20"/>
        </w:rPr>
      </w:pPr>
    </w:p>
    <w:p w14:paraId="2F32F25C" w14:textId="23E6AC8B" w:rsidR="00233C76" w:rsidRPr="00E73989" w:rsidRDefault="00233C76" w:rsidP="00233C76">
      <w:pPr>
        <w:pStyle w:val="Caption"/>
        <w:keepNext/>
        <w:spacing w:after="0"/>
      </w:pPr>
      <w:r w:rsidRPr="00E73989">
        <w:lastRenderedPageBreak/>
        <w:t xml:space="preserve">Table </w:t>
      </w:r>
      <w:r w:rsidR="00AE640F">
        <w:fldChar w:fldCharType="begin"/>
      </w:r>
      <w:r w:rsidR="00AE640F">
        <w:instrText xml:space="preserve"> SEQ Table \* ARABIC </w:instrText>
      </w:r>
      <w:r w:rsidR="00AE640F">
        <w:fldChar w:fldCharType="separate"/>
      </w:r>
      <w:r w:rsidR="00B66D27">
        <w:rPr>
          <w:noProof/>
        </w:rPr>
        <w:t>5</w:t>
      </w:r>
      <w:r w:rsidR="00AE640F">
        <w:rPr>
          <w:noProof/>
        </w:rPr>
        <w:fldChar w:fldCharType="end"/>
      </w:r>
      <w:r w:rsidRPr="00E73989">
        <w:t>: Top 10 companies: number of projects, Jan 2011-Sep 2021</w:t>
      </w:r>
    </w:p>
    <w:p w14:paraId="5088707D" w14:textId="77777777" w:rsidR="00233C76" w:rsidRPr="00E73989" w:rsidRDefault="00233C76" w:rsidP="00233C76">
      <w:pPr>
        <w:spacing w:after="0"/>
        <w:rPr>
          <w:rFonts w:ascii="Helvetica" w:hAnsi="Helvetica" w:cs="Helvetica"/>
          <w:sz w:val="20"/>
          <w:szCs w:val="20"/>
        </w:rPr>
      </w:pPr>
      <w:r w:rsidRPr="00E73989">
        <w:rPr>
          <w:rFonts w:ascii="Helvetica" w:hAnsi="Helvetica" w:cs="Helvetica"/>
          <w:noProof/>
          <w:sz w:val="20"/>
          <w:szCs w:val="20"/>
        </w:rPr>
        <w:drawing>
          <wp:inline distT="0" distB="0" distL="0" distR="0" wp14:anchorId="2556922A" wp14:editId="05321819">
            <wp:extent cx="6118949" cy="2503805"/>
            <wp:effectExtent l="0" t="0" r="0" b="0"/>
            <wp:docPr id="46" name="Picture 46" descr="C:\Users\Emmanuel\Downloads\cA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manuel\Downloads\cAL89-.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2954"/>
                    <a:stretch/>
                  </pic:blipFill>
                  <pic:spPr bwMode="auto">
                    <a:xfrm>
                      <a:off x="0" y="0"/>
                      <a:ext cx="6120130" cy="2504288"/>
                    </a:xfrm>
                    <a:prstGeom prst="rect">
                      <a:avLst/>
                    </a:prstGeom>
                    <a:noFill/>
                    <a:ln>
                      <a:noFill/>
                    </a:ln>
                    <a:extLst>
                      <a:ext uri="{53640926-AAD7-44D8-BBD7-CCE9431645EC}">
                        <a14:shadowObscured xmlns:a14="http://schemas.microsoft.com/office/drawing/2010/main"/>
                      </a:ext>
                    </a:extLst>
                  </pic:spPr>
                </pic:pic>
              </a:graphicData>
            </a:graphic>
          </wp:inline>
        </w:drawing>
      </w:r>
    </w:p>
    <w:p w14:paraId="1D5046AD"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2BB41777" w14:textId="77777777" w:rsidR="00233C76" w:rsidRPr="00E73989" w:rsidRDefault="00233C76" w:rsidP="00233C76">
      <w:pPr>
        <w:spacing w:after="0"/>
        <w:rPr>
          <w:rFonts w:ascii="Helvetica" w:hAnsi="Helvetica" w:cs="Helvetica"/>
          <w:sz w:val="20"/>
          <w:szCs w:val="20"/>
        </w:rPr>
      </w:pPr>
    </w:p>
    <w:p w14:paraId="36F5080C" w14:textId="1033827D" w:rsidR="00233C76" w:rsidRPr="00E73989" w:rsidRDefault="00233C76" w:rsidP="00F13992">
      <w:pPr>
        <w:pStyle w:val="Heading2"/>
        <w:numPr>
          <w:ilvl w:val="1"/>
          <w:numId w:val="3"/>
        </w:numPr>
        <w:ind w:left="426" w:hanging="426"/>
      </w:pPr>
      <w:bookmarkStart w:id="24" w:name="_Toc72993548"/>
      <w:bookmarkStart w:id="25" w:name="_Toc87202391"/>
      <w:r w:rsidRPr="00E73989">
        <w:t xml:space="preserve">FDI flows between South Africa and </w:t>
      </w:r>
      <w:bookmarkEnd w:id="24"/>
      <w:r w:rsidRPr="00E73989">
        <w:t>Ghana</w:t>
      </w:r>
      <w:bookmarkEnd w:id="25"/>
    </w:p>
    <w:p w14:paraId="714289B3" w14:textId="77777777" w:rsidR="00233C76" w:rsidRPr="00E73989" w:rsidRDefault="00233C76" w:rsidP="00233C76">
      <w:pPr>
        <w:spacing w:after="0"/>
        <w:jc w:val="both"/>
        <w:rPr>
          <w:rFonts w:ascii="Helvetica" w:eastAsia="Times New Roman" w:hAnsi="Helvetica" w:cs="Helvetica"/>
          <w:color w:val="000000"/>
          <w:sz w:val="16"/>
          <w:szCs w:val="16"/>
        </w:rPr>
      </w:pPr>
      <w:r w:rsidRPr="00E73989">
        <w:rPr>
          <w:rFonts w:ascii="Helvetica" w:hAnsi="Helvetica" w:cs="Helvetica"/>
          <w:sz w:val="20"/>
          <w:szCs w:val="20"/>
        </w:rPr>
        <w:t>This sub-section focuses on FDI flows between Ghana and South Africa from January 2013 to September 2021.</w:t>
      </w:r>
    </w:p>
    <w:p w14:paraId="20A993F6" w14:textId="77777777" w:rsidR="00233C76" w:rsidRPr="00E73989" w:rsidRDefault="00233C76" w:rsidP="00233C76">
      <w:pPr>
        <w:spacing w:after="0"/>
        <w:rPr>
          <w:rFonts w:ascii="Helvetica" w:hAnsi="Helvetica" w:cs="Helvetica"/>
          <w:b/>
          <w:sz w:val="20"/>
          <w:szCs w:val="20"/>
        </w:rPr>
      </w:pPr>
    </w:p>
    <w:p w14:paraId="249E08A1" w14:textId="316BA2E2" w:rsidR="00233C76" w:rsidRPr="00E73989" w:rsidRDefault="00233C76" w:rsidP="00F13992">
      <w:pPr>
        <w:pStyle w:val="Heading3"/>
        <w:numPr>
          <w:ilvl w:val="2"/>
          <w:numId w:val="29"/>
        </w:numPr>
        <w:ind w:left="567" w:hanging="567"/>
        <w:rPr>
          <w:szCs w:val="20"/>
        </w:rPr>
      </w:pPr>
      <w:bookmarkStart w:id="26" w:name="_Toc87202392"/>
      <w:r w:rsidRPr="00E73989">
        <w:rPr>
          <w:szCs w:val="20"/>
        </w:rPr>
        <w:t>FDI flows from Ghana to South Africa</w:t>
      </w:r>
      <w:bookmarkEnd w:id="26"/>
    </w:p>
    <w:p w14:paraId="5DBDCE2C" w14:textId="0B2D6918" w:rsidR="00233C76" w:rsidRPr="00E73989" w:rsidRDefault="00233C76" w:rsidP="00233C76">
      <w:pPr>
        <w:spacing w:after="0"/>
        <w:jc w:val="both"/>
        <w:rPr>
          <w:rFonts w:ascii="Helvetica" w:eastAsia="Times New Roman" w:hAnsi="Helvetica" w:cs="Helvetica"/>
          <w:sz w:val="20"/>
          <w:szCs w:val="20"/>
        </w:rPr>
      </w:pPr>
      <w:r w:rsidRPr="00E73989">
        <w:rPr>
          <w:rFonts w:ascii="Helvetica" w:eastAsia="Times New Roman" w:hAnsi="Helvetica" w:cs="Helvetica"/>
          <w:sz w:val="20"/>
          <w:szCs w:val="20"/>
        </w:rPr>
        <w:t xml:space="preserve">Between </w:t>
      </w:r>
      <w:r w:rsidR="00F13992" w:rsidRPr="00E73989">
        <w:rPr>
          <w:rFonts w:ascii="Helvetica" w:eastAsia="Times New Roman" w:hAnsi="Helvetica" w:cs="Helvetica"/>
          <w:sz w:val="20"/>
          <w:szCs w:val="20"/>
        </w:rPr>
        <w:t xml:space="preserve">January </w:t>
      </w:r>
      <w:r w:rsidRPr="00E73989">
        <w:rPr>
          <w:rFonts w:ascii="Helvetica" w:eastAsia="Times New Roman" w:hAnsi="Helvetica" w:cs="Helvetica"/>
          <w:sz w:val="20"/>
          <w:szCs w:val="20"/>
        </w:rPr>
        <w:t>201</w:t>
      </w:r>
      <w:r w:rsidR="00F13992" w:rsidRPr="00E73989">
        <w:rPr>
          <w:rFonts w:ascii="Helvetica" w:eastAsia="Times New Roman" w:hAnsi="Helvetica" w:cs="Helvetica"/>
          <w:sz w:val="20"/>
          <w:szCs w:val="20"/>
        </w:rPr>
        <w:t>1</w:t>
      </w:r>
      <w:r w:rsidRPr="00E73989">
        <w:rPr>
          <w:rFonts w:ascii="Helvetica" w:eastAsia="Times New Roman" w:hAnsi="Helvetica" w:cs="Helvetica"/>
          <w:sz w:val="20"/>
          <w:szCs w:val="20"/>
        </w:rPr>
        <w:t xml:space="preserve"> and </w:t>
      </w:r>
      <w:r w:rsidR="00F13992" w:rsidRPr="00E73989">
        <w:rPr>
          <w:rFonts w:ascii="Helvetica" w:eastAsia="Times New Roman" w:hAnsi="Helvetica" w:cs="Helvetica"/>
          <w:sz w:val="20"/>
          <w:szCs w:val="20"/>
        </w:rPr>
        <w:t xml:space="preserve">September </w:t>
      </w:r>
      <w:r w:rsidRPr="00E73989">
        <w:rPr>
          <w:rFonts w:ascii="Helvetica" w:eastAsia="Times New Roman" w:hAnsi="Helvetica" w:cs="Helvetica"/>
          <w:sz w:val="20"/>
          <w:szCs w:val="20"/>
        </w:rPr>
        <w:t>202</w:t>
      </w:r>
      <w:r w:rsidR="00F13992" w:rsidRPr="00E73989">
        <w:rPr>
          <w:rFonts w:ascii="Helvetica" w:eastAsia="Times New Roman" w:hAnsi="Helvetica" w:cs="Helvetica"/>
          <w:sz w:val="20"/>
          <w:szCs w:val="20"/>
        </w:rPr>
        <w:t>1</w:t>
      </w:r>
      <w:r w:rsidRPr="00E73989">
        <w:rPr>
          <w:rFonts w:ascii="Helvetica" w:eastAsia="Times New Roman" w:hAnsi="Helvetica" w:cs="Helvetica"/>
          <w:sz w:val="20"/>
          <w:szCs w:val="20"/>
        </w:rPr>
        <w:t xml:space="preserve">, </w:t>
      </w:r>
      <w:r w:rsidR="00F13992" w:rsidRPr="00E73989">
        <w:rPr>
          <w:rFonts w:ascii="Helvetica" w:eastAsia="Times New Roman" w:hAnsi="Helvetica" w:cs="Helvetica"/>
          <w:sz w:val="20"/>
          <w:szCs w:val="20"/>
        </w:rPr>
        <w:t>Ghana undertook a total of 4</w:t>
      </w:r>
      <w:r w:rsidRPr="00E73989">
        <w:rPr>
          <w:rFonts w:ascii="Helvetica" w:eastAsia="Times New Roman" w:hAnsi="Helvetica" w:cs="Helvetica"/>
          <w:sz w:val="20"/>
          <w:szCs w:val="20"/>
        </w:rPr>
        <w:t xml:space="preserve"> FDI projects in South Africa. These projects generated</w:t>
      </w:r>
      <w:r w:rsidR="00C35A95" w:rsidRPr="00E73989">
        <w:rPr>
          <w:rFonts w:ascii="Helvetica" w:eastAsia="Times New Roman" w:hAnsi="Helvetica" w:cs="Helvetica"/>
          <w:sz w:val="20"/>
          <w:szCs w:val="20"/>
        </w:rPr>
        <w:t xml:space="preserve"> an estimated capex of US$29.30 m</w:t>
      </w:r>
      <w:r w:rsidRPr="00E73989">
        <w:rPr>
          <w:rFonts w:ascii="Helvetica" w:eastAsia="Times New Roman" w:hAnsi="Helvetica" w:cs="Helvetica"/>
          <w:sz w:val="20"/>
          <w:szCs w:val="20"/>
        </w:rPr>
        <w:t xml:space="preserve">illion, leading to the creation of about </w:t>
      </w:r>
      <w:r w:rsidR="00C35A95" w:rsidRPr="00E73989">
        <w:rPr>
          <w:rFonts w:ascii="Helvetica" w:eastAsia="Times New Roman" w:hAnsi="Helvetica" w:cs="Helvetica"/>
          <w:sz w:val="20"/>
          <w:szCs w:val="20"/>
        </w:rPr>
        <w:t>64</w:t>
      </w:r>
      <w:r w:rsidRPr="00E73989">
        <w:rPr>
          <w:rFonts w:ascii="Helvetica" w:eastAsia="Times New Roman" w:hAnsi="Helvetica" w:cs="Helvetica"/>
          <w:sz w:val="20"/>
          <w:szCs w:val="20"/>
        </w:rPr>
        <w:t xml:space="preserve"> jobs. </w:t>
      </w:r>
    </w:p>
    <w:p w14:paraId="40B2003D" w14:textId="32DB5B33" w:rsidR="00233C76" w:rsidRPr="00E73989" w:rsidRDefault="00233C76" w:rsidP="00233C76">
      <w:pPr>
        <w:spacing w:after="0"/>
        <w:rPr>
          <w:rFonts w:ascii="Helvetica" w:hAnsi="Helvetica" w:cs="Helvetica"/>
          <w:sz w:val="20"/>
          <w:szCs w:val="20"/>
        </w:rPr>
      </w:pPr>
    </w:p>
    <w:p w14:paraId="07C000B3" w14:textId="4F600C92" w:rsidR="00233C76" w:rsidRPr="00E73989" w:rsidRDefault="00233C76" w:rsidP="00233C76">
      <w:pPr>
        <w:pStyle w:val="Caption"/>
        <w:keepNext/>
        <w:spacing w:after="0"/>
        <w:rPr>
          <w:rFonts w:ascii="Helvetica" w:hAnsi="Helvetica" w:cs="Helvetica"/>
        </w:rPr>
      </w:pPr>
      <w:r w:rsidRPr="00E73989">
        <w:rPr>
          <w:rFonts w:ascii="Helvetica" w:hAnsi="Helvetica" w:cs="Helvetica"/>
        </w:rPr>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27</w:t>
      </w:r>
      <w:r w:rsidRPr="00E73989">
        <w:rPr>
          <w:rFonts w:ascii="Helvetica" w:hAnsi="Helvetica" w:cs="Helvetica"/>
        </w:rPr>
        <w:fldChar w:fldCharType="end"/>
      </w:r>
      <w:r w:rsidRPr="00E73989">
        <w:rPr>
          <w:rFonts w:ascii="Helvetica" w:hAnsi="Helvetica" w:cs="Helvetica"/>
        </w:rPr>
        <w:t>: FDI from Ghana to South Africa, Jan 2011-Sep 2021</w:t>
      </w:r>
    </w:p>
    <w:p w14:paraId="6BE79304" w14:textId="77777777" w:rsidR="00233C76" w:rsidRPr="00E73989" w:rsidRDefault="00233C76" w:rsidP="00233C76">
      <w:pPr>
        <w:spacing w:after="0"/>
        <w:rPr>
          <w:rFonts w:ascii="Helvetica" w:hAnsi="Helvetica" w:cs="Helvetica"/>
          <w:sz w:val="20"/>
          <w:szCs w:val="20"/>
        </w:rPr>
      </w:pPr>
      <w:r w:rsidRPr="00E73989">
        <w:rPr>
          <w:rFonts w:ascii="Helvetica" w:hAnsi="Helvetica" w:cs="Helvetica"/>
          <w:noProof/>
          <w:sz w:val="20"/>
          <w:szCs w:val="20"/>
        </w:rPr>
        <w:drawing>
          <wp:inline distT="0" distB="0" distL="0" distR="0" wp14:anchorId="6DD32B74" wp14:editId="59370011">
            <wp:extent cx="6120130" cy="1165257"/>
            <wp:effectExtent l="0" t="0" r="0" b="0"/>
            <wp:docPr id="47" name="Picture 47" descr="C:\Users\Emmanuel\Downloads\O7a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manuel\Downloads\O7aOR- (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1165257"/>
                    </a:xfrm>
                    <a:prstGeom prst="rect">
                      <a:avLst/>
                    </a:prstGeom>
                    <a:noFill/>
                    <a:ln>
                      <a:noFill/>
                    </a:ln>
                  </pic:spPr>
                </pic:pic>
              </a:graphicData>
            </a:graphic>
          </wp:inline>
        </w:drawing>
      </w:r>
    </w:p>
    <w:p w14:paraId="2DFFDEF0" w14:textId="1F71CB8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6B99AFFE" w14:textId="58DDCD14" w:rsidR="00C35A95" w:rsidRPr="00E73989" w:rsidRDefault="00C35A95" w:rsidP="00233C76">
      <w:pPr>
        <w:spacing w:after="0"/>
        <w:rPr>
          <w:rFonts w:ascii="Helvetica" w:hAnsi="Helvetica" w:cs="Helvetica"/>
          <w:sz w:val="20"/>
          <w:szCs w:val="20"/>
        </w:rPr>
      </w:pPr>
    </w:p>
    <w:p w14:paraId="13A87DA8" w14:textId="2C4A1E04" w:rsidR="00C35A95" w:rsidRPr="00E73989" w:rsidRDefault="00C35A95" w:rsidP="00C35A95">
      <w:pPr>
        <w:spacing w:after="0"/>
        <w:jc w:val="both"/>
        <w:rPr>
          <w:rFonts w:ascii="Helvetica" w:eastAsia="Times New Roman" w:hAnsi="Helvetica" w:cs="Helvetica"/>
          <w:color w:val="000000" w:themeColor="text1"/>
          <w:sz w:val="20"/>
          <w:szCs w:val="20"/>
        </w:rPr>
      </w:pPr>
      <w:r w:rsidRPr="00E73989">
        <w:rPr>
          <w:rFonts w:ascii="Helvetica" w:eastAsia="Times New Roman" w:hAnsi="Helvetica" w:cs="Helvetica"/>
          <w:color w:val="000000" w:themeColor="text1"/>
          <w:sz w:val="20"/>
          <w:szCs w:val="20"/>
        </w:rPr>
        <w:t>The South African industry that received the largest amount of capex from Ghana during the period under review was financial services (US$19 m), followed by software and IT services (US$5.2 m). Moreover, the South African industries that benefitted from FDI projects from Ghana were financial services (2 projects); food and beverages (1 project) and software and IT services (1 project).</w:t>
      </w:r>
    </w:p>
    <w:p w14:paraId="50114FA2" w14:textId="77777777" w:rsidR="00C35A95" w:rsidRPr="00E73989" w:rsidRDefault="00C35A95" w:rsidP="00233C76">
      <w:pPr>
        <w:spacing w:after="0"/>
        <w:rPr>
          <w:rFonts w:ascii="Helvetica" w:hAnsi="Helvetica" w:cs="Helvetica"/>
          <w:sz w:val="20"/>
          <w:szCs w:val="20"/>
        </w:rPr>
      </w:pPr>
    </w:p>
    <w:p w14:paraId="4C1878F9" w14:textId="5BEBD32C" w:rsidR="00233C76" w:rsidRPr="00E73989" w:rsidRDefault="00233C76" w:rsidP="00233C76">
      <w:pPr>
        <w:pStyle w:val="Caption"/>
        <w:keepNext/>
        <w:spacing w:after="0"/>
        <w:rPr>
          <w:rFonts w:ascii="Helvetica" w:hAnsi="Helvetica" w:cs="Helvetica"/>
        </w:rPr>
      </w:pPr>
      <w:r w:rsidRPr="00E73989">
        <w:rPr>
          <w:rFonts w:ascii="Helvetica" w:hAnsi="Helvetica" w:cs="Helvetica"/>
        </w:rPr>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28</w:t>
      </w:r>
      <w:r w:rsidRPr="00E73989">
        <w:rPr>
          <w:rFonts w:ascii="Helvetica" w:hAnsi="Helvetica" w:cs="Helvetica"/>
        </w:rPr>
        <w:fldChar w:fldCharType="end"/>
      </w:r>
      <w:r w:rsidRPr="00E73989">
        <w:rPr>
          <w:rFonts w:ascii="Helvetica" w:hAnsi="Helvetica" w:cs="Helvetica"/>
        </w:rPr>
        <w:t>: FDI from Ghana to South Africa: by sector, Jan 2011-Sep 2021</w:t>
      </w:r>
    </w:p>
    <w:p w14:paraId="61E5D5DA" w14:textId="77777777" w:rsidR="00233C76" w:rsidRPr="00E73989" w:rsidRDefault="00233C76" w:rsidP="00233C76">
      <w:pPr>
        <w:spacing w:after="0"/>
        <w:rPr>
          <w:rFonts w:ascii="Helvetica" w:hAnsi="Helvetica" w:cs="Helvetica"/>
          <w:sz w:val="20"/>
          <w:szCs w:val="20"/>
        </w:rPr>
      </w:pPr>
      <w:r w:rsidRPr="00E73989">
        <w:rPr>
          <w:rFonts w:ascii="Helvetica" w:hAnsi="Helvetica" w:cs="Helvetica"/>
          <w:noProof/>
          <w:sz w:val="20"/>
          <w:szCs w:val="20"/>
        </w:rPr>
        <w:drawing>
          <wp:inline distT="0" distB="0" distL="0" distR="0" wp14:anchorId="2E0A80FE" wp14:editId="64034A91">
            <wp:extent cx="2931891" cy="660400"/>
            <wp:effectExtent l="0" t="0" r="1905" b="6350"/>
            <wp:docPr id="48" name="Picture 48" descr="C:\Users\Emmanuel\Downloads\KkB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mmanuel\Downloads\KkBev-.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0951" cy="664693"/>
                    </a:xfrm>
                    <a:prstGeom prst="rect">
                      <a:avLst/>
                    </a:prstGeom>
                    <a:noFill/>
                    <a:ln>
                      <a:noFill/>
                    </a:ln>
                  </pic:spPr>
                </pic:pic>
              </a:graphicData>
            </a:graphic>
          </wp:inline>
        </w:drawing>
      </w:r>
      <w:r w:rsidRPr="00E73989">
        <w:rPr>
          <w:rFonts w:ascii="Helvetica" w:hAnsi="Helvetica" w:cs="Helvetica"/>
          <w:noProof/>
          <w:sz w:val="20"/>
          <w:szCs w:val="20"/>
        </w:rPr>
        <w:drawing>
          <wp:inline distT="0" distB="0" distL="0" distR="0" wp14:anchorId="6D5082A7" wp14:editId="44B122AD">
            <wp:extent cx="2951624" cy="664845"/>
            <wp:effectExtent l="0" t="0" r="1270" b="1905"/>
            <wp:docPr id="49" name="Picture 49" descr="C:\Users\Emmanuel\Downloads\KkBev-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manuel\Downloads\KkBev- (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8236" cy="677597"/>
                    </a:xfrm>
                    <a:prstGeom prst="rect">
                      <a:avLst/>
                    </a:prstGeom>
                    <a:noFill/>
                    <a:ln>
                      <a:noFill/>
                    </a:ln>
                  </pic:spPr>
                </pic:pic>
              </a:graphicData>
            </a:graphic>
          </wp:inline>
        </w:drawing>
      </w:r>
    </w:p>
    <w:p w14:paraId="4949ED87"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342A2C03" w14:textId="178A1981" w:rsidR="00233C76" w:rsidRPr="00E73989" w:rsidRDefault="00233C76" w:rsidP="00233C76">
      <w:pPr>
        <w:spacing w:after="0"/>
        <w:rPr>
          <w:rFonts w:ascii="Helvetica" w:hAnsi="Helvetica" w:cs="Helvetica"/>
          <w:sz w:val="20"/>
          <w:szCs w:val="20"/>
        </w:rPr>
      </w:pPr>
    </w:p>
    <w:p w14:paraId="0D2DBCD7" w14:textId="772A1D94" w:rsidR="00C35A95" w:rsidRPr="00E73989" w:rsidRDefault="00C35A95" w:rsidP="00C35A95">
      <w:pPr>
        <w:spacing w:after="0"/>
        <w:jc w:val="both"/>
        <w:rPr>
          <w:rFonts w:ascii="Helvetica" w:eastAsia="Times New Roman" w:hAnsi="Helvetica" w:cs="Helvetica"/>
          <w:color w:val="000000"/>
          <w:sz w:val="20"/>
          <w:szCs w:val="20"/>
        </w:rPr>
      </w:pPr>
      <w:r w:rsidRPr="00E73989">
        <w:rPr>
          <w:rFonts w:ascii="Helvetica" w:eastAsia="Times New Roman" w:hAnsi="Helvetica" w:cs="Helvetica"/>
          <w:color w:val="000000"/>
          <w:sz w:val="20"/>
          <w:szCs w:val="20"/>
        </w:rPr>
        <w:t>As shown in Table 3, the four Ghanaian companies that invested in South Africa between January 2011 and September 2021 were AFD</w:t>
      </w:r>
      <w:r w:rsidR="00AB3EE4" w:rsidRPr="00E73989">
        <w:rPr>
          <w:rFonts w:ascii="Helvetica" w:eastAsia="Times New Roman" w:hAnsi="Helvetica" w:cs="Helvetica"/>
          <w:color w:val="000000"/>
          <w:sz w:val="20"/>
          <w:szCs w:val="20"/>
        </w:rPr>
        <w:t>, GIHOC Distilleries, Noble Dream Financial Services and OMG Digital.</w:t>
      </w:r>
    </w:p>
    <w:p w14:paraId="280123C9" w14:textId="77777777" w:rsidR="00C35A95" w:rsidRPr="00E73989" w:rsidRDefault="00C35A95" w:rsidP="00233C76">
      <w:pPr>
        <w:spacing w:after="0"/>
        <w:rPr>
          <w:rFonts w:ascii="Helvetica" w:hAnsi="Helvetica" w:cs="Helvetica"/>
          <w:sz w:val="20"/>
          <w:szCs w:val="20"/>
        </w:rPr>
      </w:pPr>
    </w:p>
    <w:p w14:paraId="50E72C01" w14:textId="37B562E5" w:rsidR="00233C76" w:rsidRPr="00E73989" w:rsidRDefault="00233C76" w:rsidP="00233C76">
      <w:pPr>
        <w:pStyle w:val="Caption"/>
        <w:keepNext/>
        <w:spacing w:after="0"/>
        <w:ind w:firstLine="720"/>
        <w:rPr>
          <w:rFonts w:ascii="Helvetica" w:hAnsi="Helvetica" w:cs="Helvetica"/>
        </w:rPr>
      </w:pPr>
      <w:r w:rsidRPr="00E73989">
        <w:rPr>
          <w:rFonts w:ascii="Helvetica" w:hAnsi="Helvetica" w:cs="Helvetica"/>
        </w:rPr>
        <w:lastRenderedPageBreak/>
        <w:t xml:space="preserve">Table </w:t>
      </w:r>
      <w:r w:rsidRPr="00E73989">
        <w:rPr>
          <w:rFonts w:ascii="Helvetica" w:hAnsi="Helvetica" w:cs="Helvetica"/>
        </w:rPr>
        <w:fldChar w:fldCharType="begin"/>
      </w:r>
      <w:r w:rsidRPr="00E73989">
        <w:rPr>
          <w:rFonts w:ascii="Helvetica" w:hAnsi="Helvetica" w:cs="Helvetica"/>
        </w:rPr>
        <w:instrText xml:space="preserve"> SEQ Table \* ARABIC </w:instrText>
      </w:r>
      <w:r w:rsidRPr="00E73989">
        <w:rPr>
          <w:rFonts w:ascii="Helvetica" w:hAnsi="Helvetica" w:cs="Helvetica"/>
        </w:rPr>
        <w:fldChar w:fldCharType="separate"/>
      </w:r>
      <w:r w:rsidR="00B66D27">
        <w:rPr>
          <w:rFonts w:ascii="Helvetica" w:hAnsi="Helvetica" w:cs="Helvetica"/>
          <w:noProof/>
        </w:rPr>
        <w:t>6</w:t>
      </w:r>
      <w:r w:rsidRPr="00E73989">
        <w:rPr>
          <w:rFonts w:ascii="Helvetica" w:hAnsi="Helvetica" w:cs="Helvetica"/>
        </w:rPr>
        <w:fldChar w:fldCharType="end"/>
      </w:r>
      <w:r w:rsidRPr="00E73989">
        <w:rPr>
          <w:rFonts w:ascii="Helvetica" w:hAnsi="Helvetica" w:cs="Helvetica"/>
        </w:rPr>
        <w:t>: Companies from Ghana investing in South Africa, Jan 2011-Sep 2021</w:t>
      </w:r>
    </w:p>
    <w:p w14:paraId="4F90160D" w14:textId="77777777" w:rsidR="00233C76" w:rsidRPr="00E73989" w:rsidRDefault="00233C76" w:rsidP="00233C76">
      <w:pPr>
        <w:spacing w:after="0"/>
        <w:jc w:val="center"/>
        <w:rPr>
          <w:rFonts w:ascii="Helvetica" w:hAnsi="Helvetica" w:cs="Helvetica"/>
          <w:sz w:val="20"/>
          <w:szCs w:val="20"/>
        </w:rPr>
      </w:pPr>
      <w:r w:rsidRPr="00E73989">
        <w:rPr>
          <w:rFonts w:ascii="Helvetica" w:hAnsi="Helvetica" w:cs="Helvetica"/>
          <w:noProof/>
          <w:sz w:val="20"/>
          <w:szCs w:val="20"/>
        </w:rPr>
        <w:drawing>
          <wp:inline distT="0" distB="0" distL="0" distR="0" wp14:anchorId="5A8C10CD" wp14:editId="4A6D6D07">
            <wp:extent cx="5286375" cy="1565775"/>
            <wp:effectExtent l="0" t="0" r="0" b="0"/>
            <wp:docPr id="58" name="Picture 58" descr="C:\Users\Emmanuel\Downloads\db0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mmanuel\Downloads\db03E-.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5044" b="1"/>
                    <a:stretch/>
                  </pic:blipFill>
                  <pic:spPr bwMode="auto">
                    <a:xfrm>
                      <a:off x="0" y="0"/>
                      <a:ext cx="5311799" cy="1573305"/>
                    </a:xfrm>
                    <a:prstGeom prst="rect">
                      <a:avLst/>
                    </a:prstGeom>
                    <a:noFill/>
                    <a:ln>
                      <a:noFill/>
                    </a:ln>
                    <a:extLst>
                      <a:ext uri="{53640926-AAD7-44D8-BBD7-CCE9431645EC}">
                        <a14:shadowObscured xmlns:a14="http://schemas.microsoft.com/office/drawing/2010/main"/>
                      </a:ext>
                    </a:extLst>
                  </pic:spPr>
                </pic:pic>
              </a:graphicData>
            </a:graphic>
          </wp:inline>
        </w:drawing>
      </w:r>
    </w:p>
    <w:p w14:paraId="65AADBF1" w14:textId="77777777" w:rsidR="00233C76" w:rsidRPr="00E73989" w:rsidRDefault="00233C76" w:rsidP="00233C76">
      <w:pPr>
        <w:spacing w:after="0"/>
        <w:ind w:firstLine="720"/>
        <w:rPr>
          <w:rFonts w:ascii="Helvetica" w:hAnsi="Helvetica" w:cs="Helvetica"/>
          <w:i/>
          <w:sz w:val="16"/>
          <w:szCs w:val="16"/>
        </w:rPr>
      </w:pPr>
      <w:r w:rsidRPr="00E73989">
        <w:rPr>
          <w:rFonts w:ascii="Helvetica" w:hAnsi="Helvetica" w:cs="Helvetica"/>
          <w:i/>
          <w:sz w:val="16"/>
          <w:szCs w:val="16"/>
        </w:rPr>
        <w:t>Source: FDI Intelligence (2021)</w:t>
      </w:r>
    </w:p>
    <w:p w14:paraId="66C4A9FB" w14:textId="77777777" w:rsidR="00233C76" w:rsidRPr="00E73989" w:rsidRDefault="00233C76" w:rsidP="00233C76">
      <w:pPr>
        <w:spacing w:after="0"/>
        <w:jc w:val="both"/>
        <w:rPr>
          <w:rFonts w:ascii="Helvetica" w:eastAsia="Times New Roman" w:hAnsi="Helvetica" w:cs="Helvetica"/>
          <w:i/>
          <w:color w:val="000000" w:themeColor="text1"/>
          <w:sz w:val="20"/>
          <w:szCs w:val="20"/>
        </w:rPr>
      </w:pPr>
    </w:p>
    <w:p w14:paraId="21B9DE93" w14:textId="7AE7B98D" w:rsidR="00233C76" w:rsidRPr="00E73989" w:rsidRDefault="00233C76" w:rsidP="00AB3EE4">
      <w:pPr>
        <w:pStyle w:val="Heading3"/>
        <w:numPr>
          <w:ilvl w:val="2"/>
          <w:numId w:val="30"/>
        </w:numPr>
        <w:ind w:left="567" w:hanging="567"/>
      </w:pPr>
      <w:bookmarkStart w:id="27" w:name="_Toc87202393"/>
      <w:r w:rsidRPr="00E73989">
        <w:t>FDI flows from South Africa to Ghana</w:t>
      </w:r>
      <w:bookmarkEnd w:id="27"/>
    </w:p>
    <w:p w14:paraId="729C5F74" w14:textId="61E2014F" w:rsidR="00233C76" w:rsidRPr="00E73989" w:rsidRDefault="00AB3EE4" w:rsidP="00233C76">
      <w:pPr>
        <w:spacing w:after="0"/>
        <w:jc w:val="both"/>
        <w:rPr>
          <w:rFonts w:ascii="Helvetica" w:hAnsi="Helvetica" w:cs="Helvetica"/>
          <w:noProof/>
          <w:sz w:val="20"/>
          <w:szCs w:val="20"/>
        </w:rPr>
      </w:pPr>
      <w:r w:rsidRPr="00E73989">
        <w:rPr>
          <w:rFonts w:ascii="Helvetica" w:hAnsi="Helvetica" w:cs="Helvetica"/>
          <w:noProof/>
          <w:sz w:val="20"/>
          <w:szCs w:val="20"/>
        </w:rPr>
        <w:t>There was a total of 47</w:t>
      </w:r>
      <w:r w:rsidR="00233C76" w:rsidRPr="00E73989">
        <w:rPr>
          <w:rFonts w:ascii="Helvetica" w:hAnsi="Helvetica" w:cs="Helvetica"/>
          <w:noProof/>
          <w:sz w:val="20"/>
          <w:szCs w:val="20"/>
        </w:rPr>
        <w:t xml:space="preserve"> FDI projects by companies o</w:t>
      </w:r>
      <w:r w:rsidRPr="00E73989">
        <w:rPr>
          <w:rFonts w:ascii="Helvetica" w:hAnsi="Helvetica" w:cs="Helvetica"/>
          <w:noProof/>
          <w:sz w:val="20"/>
          <w:szCs w:val="20"/>
        </w:rPr>
        <w:t>f South African origin in the Ghanaian market during the period under review</w:t>
      </w:r>
      <w:r w:rsidR="00233C76" w:rsidRPr="00E73989">
        <w:rPr>
          <w:rFonts w:ascii="Helvetica" w:hAnsi="Helvetica" w:cs="Helvetica"/>
          <w:noProof/>
          <w:sz w:val="20"/>
          <w:szCs w:val="20"/>
        </w:rPr>
        <w:t>. These projects were accompanied by a t</w:t>
      </w:r>
      <w:r w:rsidRPr="00E73989">
        <w:rPr>
          <w:rFonts w:ascii="Helvetica" w:hAnsi="Helvetica" w:cs="Helvetica"/>
          <w:noProof/>
          <w:sz w:val="20"/>
          <w:szCs w:val="20"/>
        </w:rPr>
        <w:t>otal capital expenditure of US$2.15</w:t>
      </w:r>
      <w:r w:rsidR="00233C76" w:rsidRPr="00E73989">
        <w:rPr>
          <w:rFonts w:ascii="Helvetica" w:hAnsi="Helvetica" w:cs="Helvetica"/>
          <w:noProof/>
          <w:sz w:val="20"/>
          <w:szCs w:val="20"/>
        </w:rPr>
        <w:t xml:space="preserve"> billion</w:t>
      </w:r>
      <w:r w:rsidRPr="00E73989">
        <w:rPr>
          <w:rFonts w:ascii="Helvetica" w:hAnsi="Helvetica" w:cs="Helvetica"/>
          <w:noProof/>
          <w:sz w:val="20"/>
          <w:szCs w:val="20"/>
        </w:rPr>
        <w:t xml:space="preserve"> and the creation of 4 182 jobs.</w:t>
      </w:r>
    </w:p>
    <w:p w14:paraId="7406CBDD" w14:textId="77777777" w:rsidR="00233C76" w:rsidRPr="00E73989" w:rsidRDefault="00233C76" w:rsidP="00233C76">
      <w:pPr>
        <w:spacing w:after="0"/>
        <w:rPr>
          <w:rFonts w:ascii="Helvetica" w:hAnsi="Helvetica" w:cs="Helvetica"/>
          <w:sz w:val="20"/>
          <w:szCs w:val="20"/>
        </w:rPr>
      </w:pPr>
    </w:p>
    <w:p w14:paraId="43C7DEB0" w14:textId="7577705D" w:rsidR="00233C76" w:rsidRPr="00E73989" w:rsidRDefault="00233C76" w:rsidP="00233C76">
      <w:pPr>
        <w:pStyle w:val="Caption"/>
        <w:keepNext/>
        <w:spacing w:after="0"/>
        <w:rPr>
          <w:rFonts w:ascii="Helvetica" w:hAnsi="Helvetica" w:cs="Helvetica"/>
        </w:rPr>
      </w:pPr>
      <w:r w:rsidRPr="00E73989">
        <w:rPr>
          <w:rFonts w:ascii="Helvetica" w:hAnsi="Helvetica" w:cs="Helvetica"/>
        </w:rPr>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29</w:t>
      </w:r>
      <w:r w:rsidRPr="00E73989">
        <w:rPr>
          <w:rFonts w:ascii="Helvetica" w:hAnsi="Helvetica" w:cs="Helvetica"/>
        </w:rPr>
        <w:fldChar w:fldCharType="end"/>
      </w:r>
      <w:r w:rsidRPr="00E73989">
        <w:rPr>
          <w:rFonts w:ascii="Helvetica" w:hAnsi="Helvetica" w:cs="Helvetica"/>
        </w:rPr>
        <w:t>: FDI from South Africa to Ghana, Jan 2011-Sep 2021</w:t>
      </w:r>
    </w:p>
    <w:p w14:paraId="65B6D416" w14:textId="77777777" w:rsidR="00233C76" w:rsidRPr="00E73989" w:rsidRDefault="00233C76" w:rsidP="00233C76">
      <w:pPr>
        <w:spacing w:after="0"/>
        <w:rPr>
          <w:rFonts w:ascii="Helvetica" w:hAnsi="Helvetica" w:cs="Helvetica"/>
          <w:sz w:val="20"/>
          <w:szCs w:val="20"/>
        </w:rPr>
      </w:pPr>
      <w:r w:rsidRPr="00E73989">
        <w:rPr>
          <w:rFonts w:ascii="Helvetica" w:hAnsi="Helvetica" w:cs="Helvetica"/>
          <w:noProof/>
          <w:sz w:val="20"/>
          <w:szCs w:val="20"/>
        </w:rPr>
        <w:drawing>
          <wp:inline distT="0" distB="0" distL="0" distR="0" wp14:anchorId="62FC763D" wp14:editId="0A50F40E">
            <wp:extent cx="6120130" cy="2423721"/>
            <wp:effectExtent l="0" t="0" r="0" b="0"/>
            <wp:docPr id="63" name="Picture 63" descr="C:\Users\Emmanuel\Downloads\db03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manuel\Downloads\db03E- (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2423721"/>
                    </a:xfrm>
                    <a:prstGeom prst="rect">
                      <a:avLst/>
                    </a:prstGeom>
                    <a:noFill/>
                    <a:ln>
                      <a:noFill/>
                    </a:ln>
                  </pic:spPr>
                </pic:pic>
              </a:graphicData>
            </a:graphic>
          </wp:inline>
        </w:drawing>
      </w:r>
    </w:p>
    <w:p w14:paraId="31F33B24"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5B30A42D" w14:textId="73F8A674" w:rsidR="00233C76" w:rsidRPr="00E73989" w:rsidRDefault="00233C76" w:rsidP="00233C76">
      <w:pPr>
        <w:spacing w:after="0"/>
        <w:rPr>
          <w:rFonts w:ascii="Helvetica" w:hAnsi="Helvetica" w:cs="Helvetica"/>
          <w:sz w:val="20"/>
          <w:szCs w:val="20"/>
        </w:rPr>
      </w:pPr>
    </w:p>
    <w:p w14:paraId="671929A2" w14:textId="2C9C7522" w:rsidR="00AB3EE4" w:rsidRPr="00E73989" w:rsidRDefault="00AB3EE4" w:rsidP="00AB3EE4">
      <w:pPr>
        <w:autoSpaceDE w:val="0"/>
        <w:autoSpaceDN w:val="0"/>
        <w:adjustRightInd w:val="0"/>
        <w:spacing w:after="0"/>
        <w:jc w:val="both"/>
        <w:rPr>
          <w:rFonts w:ascii="Helvetica" w:eastAsia="Times New Roman" w:hAnsi="Helvetica" w:cs="Helvetica"/>
          <w:color w:val="000000" w:themeColor="text1"/>
          <w:sz w:val="20"/>
          <w:szCs w:val="20"/>
        </w:rPr>
      </w:pPr>
      <w:r w:rsidRPr="00E73989">
        <w:rPr>
          <w:rFonts w:ascii="Helvetica" w:eastAsia="Times New Roman" w:hAnsi="Helvetica" w:cs="Helvetica"/>
          <w:color w:val="000000" w:themeColor="text1"/>
          <w:sz w:val="20"/>
          <w:szCs w:val="20"/>
        </w:rPr>
        <w:t>Approximately 41% of capex that originated from South Africa to Ghana was from the communications industry. Furthermore, communications and financial services were the top two industries in terms of the number of FDI projects.</w:t>
      </w:r>
    </w:p>
    <w:p w14:paraId="2516A016" w14:textId="77777777" w:rsidR="00AB3EE4" w:rsidRPr="00E73989" w:rsidRDefault="00AB3EE4" w:rsidP="00233C76">
      <w:pPr>
        <w:spacing w:after="0"/>
        <w:rPr>
          <w:rFonts w:ascii="Helvetica" w:hAnsi="Helvetica" w:cs="Helvetica"/>
          <w:sz w:val="20"/>
          <w:szCs w:val="20"/>
        </w:rPr>
      </w:pPr>
    </w:p>
    <w:p w14:paraId="741732DA" w14:textId="22790CBD" w:rsidR="00233C76" w:rsidRPr="00E73989" w:rsidRDefault="00233C76" w:rsidP="00233C76">
      <w:pPr>
        <w:pStyle w:val="Caption"/>
        <w:keepNext/>
        <w:spacing w:after="0"/>
        <w:rPr>
          <w:rFonts w:ascii="Helvetica" w:hAnsi="Helvetica" w:cs="Helvetica"/>
        </w:rPr>
      </w:pPr>
      <w:r w:rsidRPr="00E73989">
        <w:rPr>
          <w:rFonts w:ascii="Helvetica" w:hAnsi="Helvetica" w:cs="Helvetica"/>
        </w:rPr>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30</w:t>
      </w:r>
      <w:r w:rsidRPr="00E73989">
        <w:rPr>
          <w:rFonts w:ascii="Helvetica" w:hAnsi="Helvetica" w:cs="Helvetica"/>
        </w:rPr>
        <w:fldChar w:fldCharType="end"/>
      </w:r>
      <w:r w:rsidRPr="00E73989">
        <w:rPr>
          <w:rFonts w:ascii="Helvetica" w:hAnsi="Helvetica" w:cs="Helvetica"/>
        </w:rPr>
        <w:t>: FDI from South Africa to Ghana, Jan 2011-Sep 2021</w:t>
      </w:r>
    </w:p>
    <w:p w14:paraId="3906D39A" w14:textId="77777777" w:rsidR="00233C76" w:rsidRPr="00E73989" w:rsidRDefault="00233C76" w:rsidP="00233C76">
      <w:pPr>
        <w:spacing w:after="0"/>
        <w:rPr>
          <w:rFonts w:ascii="Helvetica" w:hAnsi="Helvetica" w:cs="Helvetica"/>
          <w:sz w:val="20"/>
          <w:szCs w:val="20"/>
        </w:rPr>
      </w:pPr>
      <w:r w:rsidRPr="00E73989">
        <w:rPr>
          <w:rFonts w:ascii="Helvetica" w:hAnsi="Helvetica" w:cs="Helvetica"/>
          <w:noProof/>
          <w:sz w:val="20"/>
          <w:szCs w:val="20"/>
        </w:rPr>
        <w:drawing>
          <wp:inline distT="0" distB="0" distL="0" distR="0" wp14:anchorId="5EAF7428" wp14:editId="0C080FC8">
            <wp:extent cx="3009900" cy="2202180"/>
            <wp:effectExtent l="0" t="0" r="0" b="7620"/>
            <wp:docPr id="23" name="Picture 23" descr="C:\Users\Emmanuel\Downloads\db03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mmanuel\Downloads\db03E- (2).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1" r="1551"/>
                    <a:stretch/>
                  </pic:blipFill>
                  <pic:spPr bwMode="auto">
                    <a:xfrm>
                      <a:off x="0" y="0"/>
                      <a:ext cx="3025741" cy="2213770"/>
                    </a:xfrm>
                    <a:prstGeom prst="rect">
                      <a:avLst/>
                    </a:prstGeom>
                    <a:noFill/>
                    <a:ln>
                      <a:noFill/>
                    </a:ln>
                    <a:extLst>
                      <a:ext uri="{53640926-AAD7-44D8-BBD7-CCE9431645EC}">
                        <a14:shadowObscured xmlns:a14="http://schemas.microsoft.com/office/drawing/2010/main"/>
                      </a:ext>
                    </a:extLst>
                  </pic:spPr>
                </pic:pic>
              </a:graphicData>
            </a:graphic>
          </wp:inline>
        </w:drawing>
      </w:r>
      <w:r w:rsidRPr="00E73989">
        <w:rPr>
          <w:rFonts w:ascii="Helvetica" w:hAnsi="Helvetica" w:cs="Helvetica"/>
          <w:noProof/>
          <w:sz w:val="20"/>
          <w:szCs w:val="20"/>
        </w:rPr>
        <w:drawing>
          <wp:inline distT="0" distB="0" distL="0" distR="0" wp14:anchorId="2C5218B1" wp14:editId="6489F825">
            <wp:extent cx="3028950" cy="2218690"/>
            <wp:effectExtent l="0" t="0" r="0" b="0"/>
            <wp:docPr id="65" name="Picture 65" descr="C:\Users\Emmanuel\Downloads\db03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mmanuel\Downloads\db03E- (3).png"/>
                    <pic:cNvPicPr>
                      <a:picLocks noChangeAspect="1" noChangeArrowheads="1"/>
                    </pic:cNvPicPr>
                  </pic:nvPicPr>
                  <pic:blipFill rotWithShape="1">
                    <a:blip r:embed="rId55">
                      <a:extLst>
                        <a:ext uri="{28A0092B-C50C-407E-A947-70E740481C1C}">
                          <a14:useLocalDpi xmlns:a14="http://schemas.microsoft.com/office/drawing/2010/main" val="0"/>
                        </a:ext>
                      </a:extLst>
                    </a:blip>
                    <a:srcRect r="1666"/>
                    <a:stretch/>
                  </pic:blipFill>
                  <pic:spPr bwMode="auto">
                    <a:xfrm>
                      <a:off x="0" y="0"/>
                      <a:ext cx="3041241" cy="2227693"/>
                    </a:xfrm>
                    <a:prstGeom prst="rect">
                      <a:avLst/>
                    </a:prstGeom>
                    <a:noFill/>
                    <a:ln>
                      <a:noFill/>
                    </a:ln>
                    <a:extLst>
                      <a:ext uri="{53640926-AAD7-44D8-BBD7-CCE9431645EC}">
                        <a14:shadowObscured xmlns:a14="http://schemas.microsoft.com/office/drawing/2010/main"/>
                      </a:ext>
                    </a:extLst>
                  </pic:spPr>
                </pic:pic>
              </a:graphicData>
            </a:graphic>
          </wp:inline>
        </w:drawing>
      </w:r>
    </w:p>
    <w:p w14:paraId="55F07EE7"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2C9E8D11" w14:textId="6C14DE7D" w:rsidR="00AB3EE4" w:rsidRPr="00E73989" w:rsidRDefault="00AB3EE4" w:rsidP="00AB3EE4">
      <w:pPr>
        <w:autoSpaceDE w:val="0"/>
        <w:autoSpaceDN w:val="0"/>
        <w:adjustRightInd w:val="0"/>
        <w:spacing w:after="0"/>
        <w:jc w:val="both"/>
        <w:rPr>
          <w:rFonts w:ascii="Helvetica" w:eastAsia="Times New Roman" w:hAnsi="Helvetica" w:cs="Helvetica"/>
          <w:color w:val="000000"/>
          <w:sz w:val="20"/>
          <w:szCs w:val="20"/>
        </w:rPr>
      </w:pPr>
      <w:r w:rsidRPr="00E73989">
        <w:rPr>
          <w:rFonts w:ascii="Helvetica" w:hAnsi="Helvetica" w:cs="Helvetica"/>
          <w:sz w:val="20"/>
          <w:szCs w:val="20"/>
        </w:rPr>
        <w:lastRenderedPageBreak/>
        <w:t>MTN Group, with 11 projects, was the South African company with the highest number of FDI projects in Ghana during the period under consideration, followed by FirstRand (6 projects) and Calulo Investment (2 projects).</w:t>
      </w:r>
    </w:p>
    <w:p w14:paraId="06415A75" w14:textId="77777777" w:rsidR="00233C76" w:rsidRPr="00E73989" w:rsidRDefault="00233C76" w:rsidP="00233C76">
      <w:pPr>
        <w:spacing w:after="0"/>
        <w:rPr>
          <w:rFonts w:ascii="Helvetica" w:hAnsi="Helvetica" w:cs="Helvetica"/>
          <w:sz w:val="20"/>
          <w:szCs w:val="20"/>
        </w:rPr>
      </w:pPr>
    </w:p>
    <w:p w14:paraId="1437FB9F" w14:textId="5E1F9F39" w:rsidR="00233C76" w:rsidRPr="00E73989" w:rsidRDefault="00233C76" w:rsidP="00233C76">
      <w:pPr>
        <w:pStyle w:val="Caption"/>
        <w:keepNext/>
        <w:spacing w:after="0"/>
        <w:rPr>
          <w:rFonts w:ascii="Helvetica" w:hAnsi="Helvetica" w:cs="Helvetica"/>
        </w:rPr>
      </w:pPr>
      <w:r w:rsidRPr="00E73989">
        <w:rPr>
          <w:rFonts w:ascii="Helvetica" w:hAnsi="Helvetica" w:cs="Helvetica"/>
        </w:rPr>
        <w:t xml:space="preserve">Table </w:t>
      </w:r>
      <w:r w:rsidRPr="00E73989">
        <w:rPr>
          <w:rFonts w:ascii="Helvetica" w:hAnsi="Helvetica" w:cs="Helvetica"/>
        </w:rPr>
        <w:fldChar w:fldCharType="begin"/>
      </w:r>
      <w:r w:rsidRPr="00E73989">
        <w:rPr>
          <w:rFonts w:ascii="Helvetica" w:hAnsi="Helvetica" w:cs="Helvetica"/>
        </w:rPr>
        <w:instrText xml:space="preserve"> SEQ Table \* ARABIC </w:instrText>
      </w:r>
      <w:r w:rsidRPr="00E73989">
        <w:rPr>
          <w:rFonts w:ascii="Helvetica" w:hAnsi="Helvetica" w:cs="Helvetica"/>
        </w:rPr>
        <w:fldChar w:fldCharType="separate"/>
      </w:r>
      <w:r w:rsidR="00B66D27">
        <w:rPr>
          <w:rFonts w:ascii="Helvetica" w:hAnsi="Helvetica" w:cs="Helvetica"/>
          <w:noProof/>
        </w:rPr>
        <w:t>7</w:t>
      </w:r>
      <w:r w:rsidRPr="00E73989">
        <w:rPr>
          <w:rFonts w:ascii="Helvetica" w:hAnsi="Helvetica" w:cs="Helvetica"/>
        </w:rPr>
        <w:fldChar w:fldCharType="end"/>
      </w:r>
      <w:r w:rsidRPr="00E73989">
        <w:rPr>
          <w:rFonts w:ascii="Helvetica" w:hAnsi="Helvetica" w:cs="Helvetica"/>
        </w:rPr>
        <w:t>: South African companies investing in Ghana:  by projects, Jan 2011-Sep 2021</w:t>
      </w:r>
    </w:p>
    <w:p w14:paraId="42BCB051" w14:textId="77777777" w:rsidR="00233C76" w:rsidRPr="00E73989" w:rsidRDefault="00233C76" w:rsidP="00233C76">
      <w:pPr>
        <w:spacing w:after="0"/>
        <w:rPr>
          <w:rFonts w:ascii="Helvetica" w:hAnsi="Helvetica" w:cs="Helvetica"/>
          <w:sz w:val="20"/>
          <w:szCs w:val="20"/>
        </w:rPr>
      </w:pPr>
      <w:r w:rsidRPr="00E73989">
        <w:rPr>
          <w:rFonts w:ascii="Helvetica" w:hAnsi="Helvetica" w:cs="Helvetica"/>
          <w:noProof/>
          <w:sz w:val="20"/>
          <w:szCs w:val="20"/>
        </w:rPr>
        <w:drawing>
          <wp:inline distT="0" distB="0" distL="0" distR="0" wp14:anchorId="1C0185FA" wp14:editId="017D75D5">
            <wp:extent cx="6119756" cy="2675255"/>
            <wp:effectExtent l="0" t="0" r="0" b="0"/>
            <wp:docPr id="26" name="Picture 26" descr="C:\Users\Emmanuel\Downloads\db03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mmanuel\Downloads\db03E- (6).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2769"/>
                    <a:stretch/>
                  </pic:blipFill>
                  <pic:spPr bwMode="auto">
                    <a:xfrm>
                      <a:off x="0" y="0"/>
                      <a:ext cx="6120130" cy="2675418"/>
                    </a:xfrm>
                    <a:prstGeom prst="rect">
                      <a:avLst/>
                    </a:prstGeom>
                    <a:noFill/>
                    <a:ln>
                      <a:noFill/>
                    </a:ln>
                    <a:extLst>
                      <a:ext uri="{53640926-AAD7-44D8-BBD7-CCE9431645EC}">
                        <a14:shadowObscured xmlns:a14="http://schemas.microsoft.com/office/drawing/2010/main"/>
                      </a:ext>
                    </a:extLst>
                  </pic:spPr>
                </pic:pic>
              </a:graphicData>
            </a:graphic>
          </wp:inline>
        </w:drawing>
      </w:r>
    </w:p>
    <w:p w14:paraId="5BC4FE0C"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2F52FE68" w14:textId="77777777" w:rsidR="00233C76" w:rsidRPr="00E73989" w:rsidRDefault="00233C76" w:rsidP="00233C76">
      <w:pPr>
        <w:spacing w:after="0"/>
        <w:rPr>
          <w:rFonts w:ascii="Helvetica" w:hAnsi="Helvetica" w:cs="Helvetica"/>
          <w:sz w:val="20"/>
          <w:szCs w:val="20"/>
        </w:rPr>
      </w:pPr>
    </w:p>
    <w:p w14:paraId="1DF6B2C7" w14:textId="32DBD9FE" w:rsidR="00233C76" w:rsidRPr="00E73989" w:rsidRDefault="00233C76" w:rsidP="006423ED">
      <w:pPr>
        <w:pStyle w:val="Heading2"/>
        <w:numPr>
          <w:ilvl w:val="1"/>
          <w:numId w:val="30"/>
        </w:numPr>
        <w:ind w:left="426" w:hanging="426"/>
      </w:pPr>
      <w:bookmarkStart w:id="28" w:name="_Toc87202394"/>
      <w:r w:rsidRPr="00E73989">
        <w:t>FDI flows between the Western Cape and Ghana</w:t>
      </w:r>
      <w:bookmarkEnd w:id="28"/>
    </w:p>
    <w:p w14:paraId="1C352B5A" w14:textId="0B922202" w:rsidR="00233C76" w:rsidRPr="00E73989" w:rsidRDefault="00233C76" w:rsidP="00233C76">
      <w:pPr>
        <w:tabs>
          <w:tab w:val="left" w:pos="567"/>
        </w:tabs>
        <w:spacing w:after="0"/>
        <w:jc w:val="both"/>
        <w:rPr>
          <w:rFonts w:ascii="Helvetica" w:hAnsi="Helvetica" w:cs="Helvetica"/>
          <w:sz w:val="20"/>
        </w:rPr>
      </w:pPr>
      <w:r w:rsidRPr="00E73989">
        <w:rPr>
          <w:rFonts w:ascii="Helvetica" w:hAnsi="Helvetica" w:cs="Helvetica"/>
          <w:sz w:val="20"/>
        </w:rPr>
        <w:t xml:space="preserve">About </w:t>
      </w:r>
      <w:r w:rsidR="006423ED" w:rsidRPr="00E73989">
        <w:rPr>
          <w:rFonts w:ascii="Helvetica" w:hAnsi="Helvetica" w:cs="Helvetica"/>
          <w:sz w:val="20"/>
        </w:rPr>
        <w:t>17</w:t>
      </w:r>
      <w:r w:rsidR="0036774F">
        <w:rPr>
          <w:rFonts w:ascii="Helvetica" w:hAnsi="Helvetica" w:cs="Helvetica"/>
          <w:sz w:val="20"/>
        </w:rPr>
        <w:t>%</w:t>
      </w:r>
      <w:r w:rsidRPr="00E73989">
        <w:rPr>
          <w:rFonts w:ascii="Helvetica" w:hAnsi="Helvetica" w:cs="Helvetica"/>
          <w:sz w:val="20"/>
        </w:rPr>
        <w:t xml:space="preserve"> of South Africa’s outward FDI to </w:t>
      </w:r>
      <w:r w:rsidR="006423ED" w:rsidRPr="00E73989">
        <w:rPr>
          <w:rFonts w:ascii="Helvetica" w:hAnsi="Helvetica" w:cs="Helvetica"/>
          <w:sz w:val="20"/>
        </w:rPr>
        <w:t>Ghana, during the period under review,</w:t>
      </w:r>
      <w:r w:rsidRPr="00E73989">
        <w:rPr>
          <w:rFonts w:ascii="Helvetica" w:hAnsi="Helvetica" w:cs="Helvetica"/>
          <w:sz w:val="20"/>
        </w:rPr>
        <w:t xml:space="preserve"> o</w:t>
      </w:r>
      <w:r w:rsidR="006423ED" w:rsidRPr="00E73989">
        <w:rPr>
          <w:rFonts w:ascii="Helvetica" w:hAnsi="Helvetica" w:cs="Helvetica"/>
          <w:sz w:val="20"/>
        </w:rPr>
        <w:t>riginated from the Western Cape.</w:t>
      </w:r>
    </w:p>
    <w:p w14:paraId="3ECCD1DE" w14:textId="77777777" w:rsidR="00233C76" w:rsidRPr="00E73989" w:rsidRDefault="00233C76" w:rsidP="00233C76">
      <w:pPr>
        <w:tabs>
          <w:tab w:val="left" w:pos="567"/>
        </w:tabs>
        <w:spacing w:after="0"/>
        <w:rPr>
          <w:rFonts w:ascii="Helvetica" w:hAnsi="Helvetica" w:cs="Helvetica"/>
          <w:sz w:val="20"/>
        </w:rPr>
      </w:pPr>
    </w:p>
    <w:p w14:paraId="529C1800" w14:textId="77777777" w:rsidR="00233C76" w:rsidRPr="00E73989" w:rsidRDefault="00233C76" w:rsidP="006423ED">
      <w:pPr>
        <w:pStyle w:val="Heading3"/>
        <w:numPr>
          <w:ilvl w:val="2"/>
          <w:numId w:val="30"/>
        </w:numPr>
        <w:ind w:left="567" w:hanging="567"/>
      </w:pPr>
      <w:bookmarkStart w:id="29" w:name="_Toc87202395"/>
      <w:r w:rsidRPr="00E73989">
        <w:t>FDI from Ghana to the Western Cape</w:t>
      </w:r>
      <w:bookmarkEnd w:id="29"/>
    </w:p>
    <w:p w14:paraId="4951967C" w14:textId="5A0A3B17" w:rsidR="00233C76" w:rsidRPr="00E73989" w:rsidRDefault="006423ED" w:rsidP="00233C76">
      <w:pPr>
        <w:spacing w:after="0"/>
        <w:jc w:val="both"/>
        <w:rPr>
          <w:rFonts w:ascii="Helvetica" w:hAnsi="Helvetica" w:cs="Helvetica"/>
          <w:sz w:val="20"/>
          <w:szCs w:val="20"/>
        </w:rPr>
      </w:pPr>
      <w:r w:rsidRPr="00E73989">
        <w:rPr>
          <w:rFonts w:ascii="Helvetica" w:hAnsi="Helvetica" w:cs="Helvetica"/>
          <w:sz w:val="20"/>
          <w:szCs w:val="20"/>
        </w:rPr>
        <w:t>Between January 2011 and September 2021</w:t>
      </w:r>
      <w:r w:rsidR="00233C76" w:rsidRPr="00E73989">
        <w:rPr>
          <w:rFonts w:ascii="Helvetica" w:hAnsi="Helvetica" w:cs="Helvetica"/>
          <w:sz w:val="20"/>
          <w:szCs w:val="20"/>
        </w:rPr>
        <w:t xml:space="preserve">, </w:t>
      </w:r>
      <w:r w:rsidR="00E31330" w:rsidRPr="00E73989">
        <w:rPr>
          <w:rFonts w:ascii="Helvetica" w:hAnsi="Helvetica" w:cs="Helvetica"/>
          <w:sz w:val="20"/>
          <w:szCs w:val="20"/>
        </w:rPr>
        <w:t xml:space="preserve">only 1 FDI </w:t>
      </w:r>
      <w:r w:rsidR="00233C76" w:rsidRPr="00E73989">
        <w:rPr>
          <w:rFonts w:ascii="Helvetica" w:hAnsi="Helvetica" w:cs="Helvetica"/>
          <w:sz w:val="20"/>
          <w:szCs w:val="20"/>
        </w:rPr>
        <w:t>project</w:t>
      </w:r>
      <w:r w:rsidR="00E31330" w:rsidRPr="00E73989">
        <w:rPr>
          <w:rFonts w:ascii="Helvetica" w:hAnsi="Helvetica" w:cs="Helvetica"/>
          <w:sz w:val="20"/>
          <w:szCs w:val="20"/>
        </w:rPr>
        <w:t xml:space="preserve"> was</w:t>
      </w:r>
      <w:r w:rsidR="00233C76" w:rsidRPr="00E73989">
        <w:rPr>
          <w:rFonts w:ascii="Helvetica" w:hAnsi="Helvetica" w:cs="Helvetica"/>
          <w:sz w:val="20"/>
          <w:szCs w:val="20"/>
        </w:rPr>
        <w:t xml:space="preserve"> </w:t>
      </w:r>
      <w:r w:rsidR="00E31330" w:rsidRPr="00E73989">
        <w:rPr>
          <w:rFonts w:ascii="Helvetica" w:hAnsi="Helvetica" w:cs="Helvetica"/>
          <w:sz w:val="20"/>
          <w:szCs w:val="20"/>
        </w:rPr>
        <w:t>recorded from Ghana to the Western Cape. This project, which was in the financial services industry, generated</w:t>
      </w:r>
      <w:r w:rsidR="00233C76" w:rsidRPr="00E73989">
        <w:rPr>
          <w:rFonts w:ascii="Helvetica" w:hAnsi="Helvetica" w:cs="Helvetica"/>
          <w:sz w:val="20"/>
          <w:szCs w:val="20"/>
        </w:rPr>
        <w:t xml:space="preserve"> a capital inflow of US$</w:t>
      </w:r>
      <w:r w:rsidR="00E31330" w:rsidRPr="00E73989">
        <w:rPr>
          <w:rFonts w:ascii="Helvetica" w:hAnsi="Helvetica" w:cs="Helvetica"/>
          <w:sz w:val="20"/>
          <w:szCs w:val="20"/>
        </w:rPr>
        <w:t>10</w:t>
      </w:r>
      <w:r w:rsidR="00233C76" w:rsidRPr="00E73989">
        <w:rPr>
          <w:rFonts w:ascii="Helvetica" w:hAnsi="Helvetica" w:cs="Helvetica"/>
          <w:sz w:val="20"/>
          <w:szCs w:val="20"/>
        </w:rPr>
        <w:t xml:space="preserve"> </w:t>
      </w:r>
      <w:r w:rsidR="00E31330" w:rsidRPr="00E73989">
        <w:rPr>
          <w:rFonts w:ascii="Helvetica" w:hAnsi="Helvetica" w:cs="Helvetica"/>
          <w:sz w:val="20"/>
          <w:szCs w:val="20"/>
        </w:rPr>
        <w:t>million and created 19 jobs in the Western Cape</w:t>
      </w:r>
      <w:r w:rsidR="00233C76" w:rsidRPr="00E73989">
        <w:rPr>
          <w:rFonts w:ascii="Helvetica" w:hAnsi="Helvetica" w:cs="Helvetica"/>
          <w:sz w:val="20"/>
          <w:szCs w:val="20"/>
        </w:rPr>
        <w:t>.</w:t>
      </w:r>
    </w:p>
    <w:p w14:paraId="5A06EEC2" w14:textId="77777777" w:rsidR="00233C76" w:rsidRPr="00E73989" w:rsidRDefault="00233C76" w:rsidP="00233C76">
      <w:pPr>
        <w:spacing w:after="0"/>
        <w:jc w:val="both"/>
        <w:rPr>
          <w:rFonts w:ascii="Helvetica" w:hAnsi="Helvetica" w:cs="Helvetica"/>
          <w:sz w:val="20"/>
          <w:szCs w:val="20"/>
        </w:rPr>
      </w:pPr>
    </w:p>
    <w:p w14:paraId="57026EE7" w14:textId="2CB43B1B" w:rsidR="00233C76" w:rsidRPr="00E73989" w:rsidRDefault="00233C76" w:rsidP="00233C76">
      <w:pPr>
        <w:pStyle w:val="Caption"/>
        <w:keepNext/>
        <w:spacing w:after="0"/>
        <w:jc w:val="both"/>
      </w:pPr>
      <w:r w:rsidRPr="00E73989">
        <w:rPr>
          <w:rFonts w:ascii="Helvetica" w:hAnsi="Helvetica" w:cs="Helvetica"/>
        </w:rPr>
        <w:t xml:space="preserve">Table </w:t>
      </w:r>
      <w:r w:rsidRPr="00E73989">
        <w:rPr>
          <w:rFonts w:ascii="Helvetica" w:hAnsi="Helvetica" w:cs="Helvetica"/>
        </w:rPr>
        <w:fldChar w:fldCharType="begin"/>
      </w:r>
      <w:r w:rsidRPr="00E73989">
        <w:rPr>
          <w:rFonts w:ascii="Helvetica" w:hAnsi="Helvetica" w:cs="Helvetica"/>
        </w:rPr>
        <w:instrText xml:space="preserve"> SEQ Table \* ARABIC </w:instrText>
      </w:r>
      <w:r w:rsidRPr="00E73989">
        <w:rPr>
          <w:rFonts w:ascii="Helvetica" w:hAnsi="Helvetica" w:cs="Helvetica"/>
        </w:rPr>
        <w:fldChar w:fldCharType="separate"/>
      </w:r>
      <w:r w:rsidR="00B66D27">
        <w:rPr>
          <w:rFonts w:ascii="Helvetica" w:hAnsi="Helvetica" w:cs="Helvetica"/>
          <w:noProof/>
        </w:rPr>
        <w:t>8</w:t>
      </w:r>
      <w:r w:rsidRPr="00E73989">
        <w:rPr>
          <w:rFonts w:ascii="Helvetica" w:hAnsi="Helvetica" w:cs="Helvetica"/>
        </w:rPr>
        <w:fldChar w:fldCharType="end"/>
      </w:r>
      <w:r w:rsidRPr="00E73989">
        <w:rPr>
          <w:rFonts w:ascii="Helvetica" w:hAnsi="Helvetica" w:cs="Helvetica"/>
        </w:rPr>
        <w:t>: Companies from Ghana investing in the Western Cape, Jan 2011-Sep</w:t>
      </w:r>
      <w:r w:rsidRPr="00E73989">
        <w:t xml:space="preserve"> 2021</w:t>
      </w:r>
    </w:p>
    <w:p w14:paraId="13657960" w14:textId="116FF80F" w:rsidR="00233C76" w:rsidRPr="00E73989" w:rsidRDefault="00E31330" w:rsidP="00233C76">
      <w:pPr>
        <w:spacing w:after="0"/>
        <w:jc w:val="both"/>
        <w:rPr>
          <w:rFonts w:ascii="Helvetica" w:hAnsi="Helvetica" w:cs="Helvetica"/>
          <w:sz w:val="20"/>
          <w:szCs w:val="20"/>
        </w:rPr>
      </w:pPr>
      <w:r w:rsidRPr="00E73989">
        <w:rPr>
          <w:rFonts w:ascii="Helvetica" w:hAnsi="Helvetica" w:cs="Helvetica"/>
          <w:noProof/>
          <w:sz w:val="20"/>
          <w:szCs w:val="20"/>
        </w:rPr>
        <w:drawing>
          <wp:inline distT="0" distB="0" distL="0" distR="0" wp14:anchorId="6DA1D80F" wp14:editId="26B1B43C">
            <wp:extent cx="6118391" cy="913226"/>
            <wp:effectExtent l="0" t="0" r="0" b="1270"/>
            <wp:docPr id="74" name="Picture 74" descr="C:\Users\Emmanuel\Downloads\Dsb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nuel\Downloads\DsbDQ-.png"/>
                    <pic:cNvPicPr>
                      <a:picLocks noChangeAspect="1" noChangeArrowheads="1"/>
                    </pic:cNvPicPr>
                  </pic:nvPicPr>
                  <pic:blipFill rotWithShape="1">
                    <a:blip r:embed="rId57">
                      <a:extLst>
                        <a:ext uri="{28A0092B-C50C-407E-A947-70E740481C1C}">
                          <a14:useLocalDpi xmlns:a14="http://schemas.microsoft.com/office/drawing/2010/main" val="0"/>
                        </a:ext>
                      </a:extLst>
                    </a:blip>
                    <a:srcRect t="8631"/>
                    <a:stretch/>
                  </pic:blipFill>
                  <pic:spPr bwMode="auto">
                    <a:xfrm>
                      <a:off x="0" y="0"/>
                      <a:ext cx="6120130" cy="913485"/>
                    </a:xfrm>
                    <a:prstGeom prst="rect">
                      <a:avLst/>
                    </a:prstGeom>
                    <a:noFill/>
                    <a:ln>
                      <a:noFill/>
                    </a:ln>
                    <a:extLst>
                      <a:ext uri="{53640926-AAD7-44D8-BBD7-CCE9431645EC}">
                        <a14:shadowObscured xmlns:a14="http://schemas.microsoft.com/office/drawing/2010/main"/>
                      </a:ext>
                    </a:extLst>
                  </pic:spPr>
                </pic:pic>
              </a:graphicData>
            </a:graphic>
          </wp:inline>
        </w:drawing>
      </w:r>
    </w:p>
    <w:p w14:paraId="36EE091B"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64E0113F" w14:textId="77777777" w:rsidR="00233C76" w:rsidRPr="00E73989" w:rsidRDefault="00233C76" w:rsidP="00233C76">
      <w:pPr>
        <w:spacing w:after="0"/>
        <w:rPr>
          <w:rFonts w:ascii="Helvetica" w:hAnsi="Helvetica" w:cs="Helvetica"/>
          <w:sz w:val="20"/>
          <w:szCs w:val="20"/>
        </w:rPr>
      </w:pPr>
    </w:p>
    <w:p w14:paraId="03027FD2" w14:textId="0D85BEC3" w:rsidR="00233C76" w:rsidRPr="00E73989" w:rsidRDefault="00233C76" w:rsidP="00E31330">
      <w:pPr>
        <w:pStyle w:val="Heading3"/>
        <w:numPr>
          <w:ilvl w:val="2"/>
          <w:numId w:val="30"/>
        </w:numPr>
        <w:ind w:left="567" w:hanging="567"/>
      </w:pPr>
      <w:bookmarkStart w:id="30" w:name="_Toc87202396"/>
      <w:r w:rsidRPr="00E73989">
        <w:t xml:space="preserve">FDI from the Western Cape to </w:t>
      </w:r>
      <w:r w:rsidR="00E31330" w:rsidRPr="00E73989">
        <w:t>Ghana</w:t>
      </w:r>
      <w:bookmarkEnd w:id="30"/>
    </w:p>
    <w:p w14:paraId="11EE5E47" w14:textId="669B9BB5" w:rsidR="00233C76" w:rsidRPr="00E73989" w:rsidRDefault="00E31330" w:rsidP="00233C76">
      <w:pPr>
        <w:spacing w:after="0"/>
        <w:jc w:val="both"/>
        <w:rPr>
          <w:rFonts w:ascii="Helvetica" w:eastAsia="Times New Roman" w:hAnsi="Helvetica" w:cs="Helvetica"/>
          <w:sz w:val="20"/>
          <w:szCs w:val="20"/>
        </w:rPr>
      </w:pPr>
      <w:r w:rsidRPr="00E73989">
        <w:rPr>
          <w:rFonts w:ascii="Helvetica" w:eastAsia="Times New Roman" w:hAnsi="Helvetica" w:cs="Helvetica"/>
          <w:sz w:val="20"/>
          <w:szCs w:val="20"/>
        </w:rPr>
        <w:t xml:space="preserve">During the period under review, 8 </w:t>
      </w:r>
      <w:r w:rsidR="00233C76" w:rsidRPr="00E73989">
        <w:rPr>
          <w:rFonts w:ascii="Helvetica" w:eastAsia="Times New Roman" w:hAnsi="Helvetica" w:cs="Helvetica"/>
          <w:sz w:val="20"/>
          <w:szCs w:val="20"/>
        </w:rPr>
        <w:t>FDI projec</w:t>
      </w:r>
      <w:r w:rsidR="00BA3B0B" w:rsidRPr="00E73989">
        <w:rPr>
          <w:rFonts w:ascii="Helvetica" w:eastAsia="Times New Roman" w:hAnsi="Helvetica" w:cs="Helvetica"/>
          <w:sz w:val="20"/>
          <w:szCs w:val="20"/>
        </w:rPr>
        <w:t>ts, with a total capex of US$96.40</w:t>
      </w:r>
      <w:r w:rsidR="00233C76" w:rsidRPr="00E73989">
        <w:rPr>
          <w:rFonts w:ascii="Helvetica" w:eastAsia="Times New Roman" w:hAnsi="Helvetica" w:cs="Helvetica"/>
          <w:sz w:val="20"/>
          <w:szCs w:val="20"/>
        </w:rPr>
        <w:t xml:space="preserve"> million, were recorded</w:t>
      </w:r>
      <w:r w:rsidR="00BA3B0B" w:rsidRPr="00E73989">
        <w:rPr>
          <w:rFonts w:ascii="Helvetica" w:eastAsia="Times New Roman" w:hAnsi="Helvetica" w:cs="Helvetica"/>
          <w:sz w:val="20"/>
          <w:szCs w:val="20"/>
        </w:rPr>
        <w:t xml:space="preserve"> from the Western Cape to Ghana</w:t>
      </w:r>
      <w:r w:rsidR="00233C76" w:rsidRPr="00E73989">
        <w:rPr>
          <w:rFonts w:ascii="Helvetica" w:eastAsia="Times New Roman" w:hAnsi="Helvetica" w:cs="Helvetica"/>
          <w:sz w:val="20"/>
          <w:szCs w:val="20"/>
        </w:rPr>
        <w:t xml:space="preserve">. </w:t>
      </w:r>
      <w:r w:rsidR="00BA3B0B" w:rsidRPr="00E73989">
        <w:rPr>
          <w:rFonts w:ascii="Helvetica" w:eastAsia="Times New Roman" w:hAnsi="Helvetica" w:cs="Helvetica"/>
          <w:sz w:val="20"/>
          <w:szCs w:val="20"/>
        </w:rPr>
        <w:t>These projects created 917 jobs in total.</w:t>
      </w:r>
    </w:p>
    <w:p w14:paraId="00A38C1C" w14:textId="77777777" w:rsidR="00233C76" w:rsidRPr="00E73989" w:rsidRDefault="00233C76" w:rsidP="00233C76">
      <w:pPr>
        <w:spacing w:after="0"/>
        <w:rPr>
          <w:rFonts w:ascii="Helvetica" w:hAnsi="Helvetica" w:cs="Helvetica"/>
          <w:sz w:val="20"/>
          <w:szCs w:val="20"/>
        </w:rPr>
      </w:pPr>
    </w:p>
    <w:p w14:paraId="1D42CF23" w14:textId="56345AD2" w:rsidR="00233C76" w:rsidRPr="00E73989" w:rsidRDefault="00233C76" w:rsidP="00233C76">
      <w:pPr>
        <w:pStyle w:val="Caption"/>
        <w:keepNext/>
        <w:spacing w:after="0"/>
        <w:rPr>
          <w:rFonts w:ascii="Helvetica" w:hAnsi="Helvetica" w:cs="Helvetica"/>
        </w:rPr>
      </w:pPr>
      <w:r w:rsidRPr="00E73989">
        <w:rPr>
          <w:rFonts w:ascii="Helvetica" w:hAnsi="Helvetica" w:cs="Helvetica"/>
        </w:rPr>
        <w:lastRenderedPageBreak/>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31</w:t>
      </w:r>
      <w:r w:rsidRPr="00E73989">
        <w:rPr>
          <w:rFonts w:ascii="Helvetica" w:hAnsi="Helvetica" w:cs="Helvetica"/>
        </w:rPr>
        <w:fldChar w:fldCharType="end"/>
      </w:r>
      <w:r w:rsidRPr="00E73989">
        <w:rPr>
          <w:rFonts w:ascii="Helvetica" w:hAnsi="Helvetica" w:cs="Helvetica"/>
        </w:rPr>
        <w:t>: FDI from the Western Cape to Ghana, Jan 2011-Sep 2021</w:t>
      </w:r>
    </w:p>
    <w:p w14:paraId="271137B3" w14:textId="3DF36F38" w:rsidR="00233C76" w:rsidRPr="00E73989" w:rsidRDefault="00BA3B0B" w:rsidP="00233C76">
      <w:pPr>
        <w:spacing w:after="0"/>
        <w:rPr>
          <w:rFonts w:ascii="Helvetica" w:hAnsi="Helvetica" w:cs="Helvetica"/>
          <w:sz w:val="20"/>
          <w:szCs w:val="20"/>
        </w:rPr>
      </w:pPr>
      <w:r w:rsidRPr="00E73989">
        <w:rPr>
          <w:rFonts w:ascii="Helvetica" w:hAnsi="Helvetica" w:cs="Helvetica"/>
          <w:noProof/>
          <w:sz w:val="20"/>
          <w:szCs w:val="20"/>
        </w:rPr>
        <w:drawing>
          <wp:inline distT="0" distB="0" distL="0" distR="0" wp14:anchorId="79EE239A" wp14:editId="5D810A54">
            <wp:extent cx="6120130" cy="1713009"/>
            <wp:effectExtent l="0" t="0" r="0" b="1905"/>
            <wp:docPr id="75" name="Picture 75" descr="C:\Users\Emmanuel\Downloads\DsbDQ-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nuel\Downloads\DsbDQ- (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1713009"/>
                    </a:xfrm>
                    <a:prstGeom prst="rect">
                      <a:avLst/>
                    </a:prstGeom>
                    <a:noFill/>
                    <a:ln>
                      <a:noFill/>
                    </a:ln>
                  </pic:spPr>
                </pic:pic>
              </a:graphicData>
            </a:graphic>
          </wp:inline>
        </w:drawing>
      </w:r>
    </w:p>
    <w:p w14:paraId="5A92A608"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46F8547D" w14:textId="54A9B6BD" w:rsidR="00233C76" w:rsidRPr="00E73989" w:rsidRDefault="00233C76" w:rsidP="00233C76">
      <w:pPr>
        <w:spacing w:after="0"/>
        <w:rPr>
          <w:rFonts w:ascii="Helvetica" w:hAnsi="Helvetica" w:cs="Helvetica"/>
          <w:sz w:val="20"/>
          <w:szCs w:val="20"/>
        </w:rPr>
      </w:pPr>
    </w:p>
    <w:p w14:paraId="1FE7CA74" w14:textId="32C11B96" w:rsidR="00BA3B0B" w:rsidRPr="00E73989" w:rsidRDefault="00BA3B0B" w:rsidP="00BA3B0B">
      <w:pPr>
        <w:spacing w:after="0"/>
        <w:jc w:val="both"/>
        <w:rPr>
          <w:rFonts w:ascii="Helvetica" w:eastAsia="Times New Roman" w:hAnsi="Helvetica" w:cs="Helvetica"/>
          <w:color w:val="000000" w:themeColor="text1"/>
          <w:sz w:val="20"/>
          <w:szCs w:val="20"/>
        </w:rPr>
      </w:pPr>
      <w:r w:rsidRPr="00E73989">
        <w:rPr>
          <w:rFonts w:ascii="Helvetica" w:eastAsia="Times New Roman" w:hAnsi="Helvetica" w:cs="Helvetica"/>
          <w:color w:val="000000" w:themeColor="text1"/>
          <w:sz w:val="20"/>
          <w:szCs w:val="20"/>
        </w:rPr>
        <w:t xml:space="preserve">As evident in Figure 16, close to 60% of all capital outflows from the Western Cape to Ghana during the </w:t>
      </w:r>
      <w:r w:rsidR="00C551F8" w:rsidRPr="00E73989">
        <w:rPr>
          <w:rFonts w:ascii="Helvetica" w:eastAsia="Times New Roman" w:hAnsi="Helvetica" w:cs="Helvetica"/>
          <w:color w:val="000000" w:themeColor="text1"/>
          <w:sz w:val="20"/>
          <w:szCs w:val="20"/>
        </w:rPr>
        <w:t xml:space="preserve">Jan </w:t>
      </w:r>
      <w:r w:rsidRPr="00E73989">
        <w:rPr>
          <w:rFonts w:ascii="Helvetica" w:eastAsia="Times New Roman" w:hAnsi="Helvetica" w:cs="Helvetica"/>
          <w:color w:val="000000" w:themeColor="text1"/>
          <w:sz w:val="20"/>
          <w:szCs w:val="20"/>
        </w:rPr>
        <w:t>201</w:t>
      </w:r>
      <w:r w:rsidR="00C551F8" w:rsidRPr="00E73989">
        <w:rPr>
          <w:rFonts w:ascii="Helvetica" w:eastAsia="Times New Roman" w:hAnsi="Helvetica" w:cs="Helvetica"/>
          <w:color w:val="000000" w:themeColor="text1"/>
          <w:sz w:val="20"/>
          <w:szCs w:val="20"/>
        </w:rPr>
        <w:t>1</w:t>
      </w:r>
      <w:r w:rsidRPr="00E73989">
        <w:rPr>
          <w:rFonts w:ascii="Helvetica" w:eastAsia="Times New Roman" w:hAnsi="Helvetica" w:cs="Helvetica"/>
          <w:color w:val="000000" w:themeColor="text1"/>
          <w:sz w:val="20"/>
          <w:szCs w:val="20"/>
        </w:rPr>
        <w:t>-</w:t>
      </w:r>
      <w:r w:rsidR="00C551F8" w:rsidRPr="00E73989">
        <w:rPr>
          <w:rFonts w:ascii="Helvetica" w:eastAsia="Times New Roman" w:hAnsi="Helvetica" w:cs="Helvetica"/>
          <w:color w:val="000000" w:themeColor="text1"/>
          <w:sz w:val="20"/>
          <w:szCs w:val="20"/>
        </w:rPr>
        <w:t>Sep 2021</w:t>
      </w:r>
      <w:r w:rsidRPr="00E73989">
        <w:rPr>
          <w:rFonts w:ascii="Helvetica" w:eastAsia="Times New Roman" w:hAnsi="Helvetica" w:cs="Helvetica"/>
          <w:color w:val="000000" w:themeColor="text1"/>
          <w:sz w:val="20"/>
          <w:szCs w:val="20"/>
        </w:rPr>
        <w:t xml:space="preserve"> period </w:t>
      </w:r>
      <w:r w:rsidR="00C551F8" w:rsidRPr="00E73989">
        <w:rPr>
          <w:rFonts w:ascii="Helvetica" w:eastAsia="Times New Roman" w:hAnsi="Helvetica" w:cs="Helvetica"/>
          <w:color w:val="000000" w:themeColor="text1"/>
          <w:sz w:val="20"/>
          <w:szCs w:val="20"/>
        </w:rPr>
        <w:t>were within the food and beverages</w:t>
      </w:r>
      <w:r w:rsidRPr="00E73989">
        <w:rPr>
          <w:rFonts w:ascii="Helvetica" w:eastAsia="Times New Roman" w:hAnsi="Helvetica" w:cs="Helvetica"/>
          <w:color w:val="000000" w:themeColor="text1"/>
          <w:sz w:val="20"/>
          <w:szCs w:val="20"/>
        </w:rPr>
        <w:t xml:space="preserve"> industry. Moreover, </w:t>
      </w:r>
      <w:r w:rsidR="00C551F8" w:rsidRPr="00E73989">
        <w:rPr>
          <w:rFonts w:ascii="Helvetica" w:eastAsia="Times New Roman" w:hAnsi="Helvetica" w:cs="Helvetica"/>
          <w:color w:val="000000" w:themeColor="text1"/>
          <w:sz w:val="20"/>
          <w:szCs w:val="20"/>
        </w:rPr>
        <w:t>food and beverages (with 50% of projects) was the highest ranked sector in terms of the number of FDI projects</w:t>
      </w:r>
      <w:r w:rsidRPr="00E73989">
        <w:rPr>
          <w:rFonts w:ascii="Helvetica" w:eastAsia="Times New Roman" w:hAnsi="Helvetica" w:cs="Helvetica"/>
          <w:color w:val="000000" w:themeColor="text1"/>
          <w:sz w:val="20"/>
          <w:szCs w:val="20"/>
        </w:rPr>
        <w:t>.</w:t>
      </w:r>
    </w:p>
    <w:p w14:paraId="0DD45943" w14:textId="77777777" w:rsidR="00BA3B0B" w:rsidRPr="00E73989" w:rsidRDefault="00BA3B0B" w:rsidP="00233C76">
      <w:pPr>
        <w:spacing w:after="0"/>
        <w:rPr>
          <w:rFonts w:ascii="Helvetica" w:hAnsi="Helvetica" w:cs="Helvetica"/>
          <w:sz w:val="20"/>
          <w:szCs w:val="20"/>
        </w:rPr>
      </w:pPr>
    </w:p>
    <w:p w14:paraId="3FCE1DD2" w14:textId="207FE395" w:rsidR="00233C76" w:rsidRPr="00E73989" w:rsidRDefault="00233C76" w:rsidP="00233C76">
      <w:pPr>
        <w:pStyle w:val="Caption"/>
        <w:keepNext/>
        <w:spacing w:after="0"/>
        <w:rPr>
          <w:rFonts w:ascii="Helvetica" w:hAnsi="Helvetica" w:cs="Helvetica"/>
        </w:rPr>
      </w:pPr>
      <w:r w:rsidRPr="00E73989">
        <w:rPr>
          <w:rFonts w:ascii="Helvetica" w:hAnsi="Helvetica" w:cs="Helvetica"/>
        </w:rPr>
        <w:t xml:space="preserve">Figure </w:t>
      </w:r>
      <w:r w:rsidRPr="00E73989">
        <w:rPr>
          <w:rFonts w:ascii="Helvetica" w:hAnsi="Helvetica" w:cs="Helvetica"/>
        </w:rPr>
        <w:fldChar w:fldCharType="begin"/>
      </w:r>
      <w:r w:rsidRPr="00E73989">
        <w:rPr>
          <w:rFonts w:ascii="Helvetica" w:hAnsi="Helvetica" w:cs="Helvetica"/>
        </w:rPr>
        <w:instrText xml:space="preserve"> SEQ Figure \* ARABIC </w:instrText>
      </w:r>
      <w:r w:rsidRPr="00E73989">
        <w:rPr>
          <w:rFonts w:ascii="Helvetica" w:hAnsi="Helvetica" w:cs="Helvetica"/>
        </w:rPr>
        <w:fldChar w:fldCharType="separate"/>
      </w:r>
      <w:r w:rsidR="003B149F">
        <w:rPr>
          <w:rFonts w:ascii="Helvetica" w:hAnsi="Helvetica" w:cs="Helvetica"/>
          <w:noProof/>
        </w:rPr>
        <w:t>32</w:t>
      </w:r>
      <w:r w:rsidRPr="00E73989">
        <w:rPr>
          <w:rFonts w:ascii="Helvetica" w:hAnsi="Helvetica" w:cs="Helvetica"/>
        </w:rPr>
        <w:fldChar w:fldCharType="end"/>
      </w:r>
      <w:r w:rsidRPr="00E73989">
        <w:rPr>
          <w:rFonts w:ascii="Helvetica" w:hAnsi="Helvetica" w:cs="Helvetica"/>
        </w:rPr>
        <w:t>: FDI from the Western Cape to Ghana: by sector</w:t>
      </w:r>
      <w:r w:rsidRPr="00E73989">
        <w:rPr>
          <w:rFonts w:ascii="Helvetica" w:hAnsi="Helvetica" w:cs="Helvetica"/>
          <w:noProof/>
        </w:rPr>
        <w:t>, Jan 2011-Sep 2021</w:t>
      </w:r>
    </w:p>
    <w:p w14:paraId="615AD608" w14:textId="77777777" w:rsidR="00233C76" w:rsidRPr="00E73989" w:rsidRDefault="00233C76" w:rsidP="00233C76">
      <w:pPr>
        <w:spacing w:after="0"/>
        <w:rPr>
          <w:rFonts w:ascii="Helvetica" w:hAnsi="Helvetica" w:cs="Helvetica"/>
          <w:sz w:val="20"/>
          <w:szCs w:val="20"/>
        </w:rPr>
      </w:pPr>
      <w:r w:rsidRPr="00E73989">
        <w:rPr>
          <w:rFonts w:ascii="Helvetica" w:hAnsi="Helvetica" w:cs="Helvetica"/>
          <w:noProof/>
          <w:sz w:val="20"/>
          <w:szCs w:val="20"/>
        </w:rPr>
        <w:drawing>
          <wp:inline distT="0" distB="0" distL="0" distR="0" wp14:anchorId="41A71F77" wp14:editId="436EF66A">
            <wp:extent cx="3053715" cy="1076111"/>
            <wp:effectExtent l="0" t="0" r="0" b="0"/>
            <wp:docPr id="30" name="Picture 30" descr="C:\Users\Emmanuel\Downloads\db03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mmanuel\Downloads\db03E- (10).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1218" r="1146"/>
                    <a:stretch/>
                  </pic:blipFill>
                  <pic:spPr bwMode="auto">
                    <a:xfrm>
                      <a:off x="0" y="0"/>
                      <a:ext cx="3068504" cy="1081323"/>
                    </a:xfrm>
                    <a:prstGeom prst="rect">
                      <a:avLst/>
                    </a:prstGeom>
                    <a:noFill/>
                    <a:ln>
                      <a:noFill/>
                    </a:ln>
                    <a:extLst>
                      <a:ext uri="{53640926-AAD7-44D8-BBD7-CCE9431645EC}">
                        <a14:shadowObscured xmlns:a14="http://schemas.microsoft.com/office/drawing/2010/main"/>
                      </a:ext>
                    </a:extLst>
                  </pic:spPr>
                </pic:pic>
              </a:graphicData>
            </a:graphic>
          </wp:inline>
        </w:drawing>
      </w:r>
      <w:r w:rsidRPr="00E73989">
        <w:rPr>
          <w:rFonts w:ascii="Helvetica" w:hAnsi="Helvetica" w:cs="Helvetica"/>
          <w:noProof/>
          <w:sz w:val="20"/>
          <w:szCs w:val="20"/>
        </w:rPr>
        <w:drawing>
          <wp:inline distT="0" distB="0" distL="0" distR="0" wp14:anchorId="12F026B7" wp14:editId="2209E4AB">
            <wp:extent cx="3038475" cy="1071008"/>
            <wp:effectExtent l="0" t="0" r="0" b="0"/>
            <wp:docPr id="31" name="Picture 31" descr="C:\Users\Emmanuel\Downloads\db03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mmanuel\Downloads\db03E- (11).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907" r="1481"/>
                    <a:stretch/>
                  </pic:blipFill>
                  <pic:spPr bwMode="auto">
                    <a:xfrm>
                      <a:off x="0" y="0"/>
                      <a:ext cx="3095336" cy="1091050"/>
                    </a:xfrm>
                    <a:prstGeom prst="rect">
                      <a:avLst/>
                    </a:prstGeom>
                    <a:noFill/>
                    <a:ln>
                      <a:noFill/>
                    </a:ln>
                    <a:extLst>
                      <a:ext uri="{53640926-AAD7-44D8-BBD7-CCE9431645EC}">
                        <a14:shadowObscured xmlns:a14="http://schemas.microsoft.com/office/drawing/2010/main"/>
                      </a:ext>
                    </a:extLst>
                  </pic:spPr>
                </pic:pic>
              </a:graphicData>
            </a:graphic>
          </wp:inline>
        </w:drawing>
      </w:r>
    </w:p>
    <w:p w14:paraId="74D1DB74"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31DCD638" w14:textId="5E9E606A" w:rsidR="00233C76" w:rsidRPr="00E73989" w:rsidRDefault="00233C76" w:rsidP="00233C76">
      <w:pPr>
        <w:spacing w:after="0"/>
        <w:rPr>
          <w:rFonts w:ascii="Helvetica" w:hAnsi="Helvetica" w:cs="Helvetica"/>
          <w:sz w:val="20"/>
          <w:szCs w:val="20"/>
        </w:rPr>
      </w:pPr>
    </w:p>
    <w:p w14:paraId="7CE5B392" w14:textId="65B4F7CD" w:rsidR="00C551F8" w:rsidRPr="00E73989" w:rsidRDefault="00C551F8" w:rsidP="00E73989">
      <w:pPr>
        <w:spacing w:after="0"/>
        <w:jc w:val="both"/>
        <w:rPr>
          <w:rFonts w:ascii="Helvetica" w:hAnsi="Helvetica" w:cs="Helvetica"/>
          <w:sz w:val="20"/>
          <w:szCs w:val="20"/>
        </w:rPr>
      </w:pPr>
      <w:r w:rsidRPr="00E73989">
        <w:rPr>
          <w:rFonts w:ascii="Helvetica" w:hAnsi="Helvetica" w:cs="Helvetica"/>
          <w:sz w:val="20"/>
          <w:szCs w:val="20"/>
        </w:rPr>
        <w:t>Shoprite, which was the top ranked company from the Western Cape with investment in Ghana, accounted for 2 of the 8 FDI projects</w:t>
      </w:r>
      <w:r w:rsidR="00CE02D3" w:rsidRPr="00E73989">
        <w:rPr>
          <w:rFonts w:ascii="Helvetica" w:hAnsi="Helvetica" w:cs="Helvetica"/>
          <w:sz w:val="20"/>
          <w:szCs w:val="20"/>
        </w:rPr>
        <w:t xml:space="preserve"> as shown in Table 6</w:t>
      </w:r>
      <w:r w:rsidRPr="00E73989">
        <w:rPr>
          <w:rFonts w:ascii="Helvetica" w:hAnsi="Helvetica" w:cs="Helvetica"/>
          <w:sz w:val="20"/>
          <w:szCs w:val="20"/>
        </w:rPr>
        <w:t>.</w:t>
      </w:r>
      <w:r w:rsidR="00CE02D3" w:rsidRPr="00E73989">
        <w:rPr>
          <w:rFonts w:ascii="Helvetica" w:hAnsi="Helvetica" w:cs="Helvetica"/>
          <w:sz w:val="20"/>
          <w:szCs w:val="20"/>
        </w:rPr>
        <w:t xml:space="preserve"> The company also recorded the largest capex during the period under review.</w:t>
      </w:r>
    </w:p>
    <w:p w14:paraId="591AFFDA" w14:textId="5334177F" w:rsidR="00CE02D3" w:rsidRPr="00E73989" w:rsidRDefault="00CE02D3" w:rsidP="00E73989">
      <w:pPr>
        <w:spacing w:after="0"/>
        <w:jc w:val="both"/>
        <w:rPr>
          <w:rFonts w:ascii="Helvetica" w:hAnsi="Helvetica" w:cs="Helvetica"/>
          <w:sz w:val="20"/>
          <w:szCs w:val="20"/>
        </w:rPr>
      </w:pPr>
    </w:p>
    <w:p w14:paraId="66D3F625" w14:textId="4C58AFF7" w:rsidR="00CE02D3" w:rsidRPr="00E73989" w:rsidRDefault="00CE02D3" w:rsidP="00CE02D3">
      <w:pPr>
        <w:pStyle w:val="Caption"/>
        <w:keepNext/>
        <w:spacing w:after="0"/>
        <w:rPr>
          <w:rFonts w:ascii="Helvetica" w:hAnsi="Helvetica" w:cs="Helvetica"/>
        </w:rPr>
      </w:pPr>
      <w:r w:rsidRPr="00E73989">
        <w:rPr>
          <w:rFonts w:ascii="Helvetica" w:hAnsi="Helvetica" w:cs="Helvetica"/>
        </w:rPr>
        <w:t xml:space="preserve">Table </w:t>
      </w:r>
      <w:r w:rsidRPr="00E73989">
        <w:rPr>
          <w:rFonts w:ascii="Helvetica" w:hAnsi="Helvetica" w:cs="Helvetica"/>
        </w:rPr>
        <w:fldChar w:fldCharType="begin"/>
      </w:r>
      <w:r w:rsidRPr="00E73989">
        <w:rPr>
          <w:rFonts w:ascii="Helvetica" w:hAnsi="Helvetica" w:cs="Helvetica"/>
        </w:rPr>
        <w:instrText xml:space="preserve"> SEQ Table \* ARABIC </w:instrText>
      </w:r>
      <w:r w:rsidRPr="00E73989">
        <w:rPr>
          <w:rFonts w:ascii="Helvetica" w:hAnsi="Helvetica" w:cs="Helvetica"/>
        </w:rPr>
        <w:fldChar w:fldCharType="separate"/>
      </w:r>
      <w:r w:rsidR="00B66D27">
        <w:rPr>
          <w:rFonts w:ascii="Helvetica" w:hAnsi="Helvetica" w:cs="Helvetica"/>
          <w:noProof/>
        </w:rPr>
        <w:t>9</w:t>
      </w:r>
      <w:r w:rsidRPr="00E73989">
        <w:rPr>
          <w:rFonts w:ascii="Helvetica" w:hAnsi="Helvetica" w:cs="Helvetica"/>
        </w:rPr>
        <w:fldChar w:fldCharType="end"/>
      </w:r>
      <w:r w:rsidRPr="00E73989">
        <w:rPr>
          <w:rFonts w:ascii="Helvetica" w:hAnsi="Helvetica" w:cs="Helvetica"/>
        </w:rPr>
        <w:t>: Companies from the Western Cape investing in Ghana, Jan 2011-Sep 2021</w:t>
      </w:r>
    </w:p>
    <w:p w14:paraId="7395266A" w14:textId="77777777" w:rsidR="00233C76" w:rsidRPr="00E73989" w:rsidRDefault="00233C76" w:rsidP="00233C76">
      <w:pPr>
        <w:spacing w:after="0"/>
        <w:rPr>
          <w:rFonts w:ascii="Helvetica" w:hAnsi="Helvetica" w:cs="Helvetica"/>
          <w:sz w:val="20"/>
          <w:szCs w:val="20"/>
        </w:rPr>
      </w:pPr>
      <w:r w:rsidRPr="00E73989">
        <w:rPr>
          <w:rFonts w:ascii="Helvetica" w:hAnsi="Helvetica" w:cs="Helvetica"/>
          <w:noProof/>
          <w:sz w:val="20"/>
          <w:szCs w:val="20"/>
        </w:rPr>
        <w:drawing>
          <wp:inline distT="0" distB="0" distL="0" distR="0" wp14:anchorId="709631B6" wp14:editId="4CFDF8CB">
            <wp:extent cx="6118963" cy="2252345"/>
            <wp:effectExtent l="0" t="0" r="0" b="0"/>
            <wp:docPr id="32" name="Picture 32" descr="C:\Users\Emmanuel\Downloads\db03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mmanuel\Downloads\db03E- (12).png"/>
                    <pic:cNvPicPr>
                      <a:picLocks noChangeAspect="1" noChangeArrowheads="1"/>
                    </pic:cNvPicPr>
                  </pic:nvPicPr>
                  <pic:blipFill rotWithShape="1">
                    <a:blip r:embed="rId61">
                      <a:extLst>
                        <a:ext uri="{28A0092B-C50C-407E-A947-70E740481C1C}">
                          <a14:useLocalDpi xmlns:a14="http://schemas.microsoft.com/office/drawing/2010/main" val="0"/>
                        </a:ext>
                      </a:extLst>
                    </a:blip>
                    <a:srcRect t="3666"/>
                    <a:stretch/>
                  </pic:blipFill>
                  <pic:spPr bwMode="auto">
                    <a:xfrm>
                      <a:off x="0" y="0"/>
                      <a:ext cx="6120130" cy="2252775"/>
                    </a:xfrm>
                    <a:prstGeom prst="rect">
                      <a:avLst/>
                    </a:prstGeom>
                    <a:noFill/>
                    <a:ln>
                      <a:noFill/>
                    </a:ln>
                    <a:extLst>
                      <a:ext uri="{53640926-AAD7-44D8-BBD7-CCE9431645EC}">
                        <a14:shadowObscured xmlns:a14="http://schemas.microsoft.com/office/drawing/2010/main"/>
                      </a:ext>
                    </a:extLst>
                  </pic:spPr>
                </pic:pic>
              </a:graphicData>
            </a:graphic>
          </wp:inline>
        </w:drawing>
      </w:r>
    </w:p>
    <w:p w14:paraId="3BEFB2CF" w14:textId="77777777" w:rsidR="00233C76" w:rsidRPr="00E73989" w:rsidRDefault="00233C76" w:rsidP="00233C76">
      <w:pPr>
        <w:spacing w:after="0"/>
        <w:rPr>
          <w:rFonts w:ascii="Helvetica" w:hAnsi="Helvetica" w:cs="Helvetica"/>
          <w:i/>
          <w:sz w:val="16"/>
          <w:szCs w:val="16"/>
        </w:rPr>
      </w:pPr>
      <w:r w:rsidRPr="00E73989">
        <w:rPr>
          <w:rFonts w:ascii="Helvetica" w:hAnsi="Helvetica" w:cs="Helvetica"/>
          <w:i/>
          <w:sz w:val="16"/>
          <w:szCs w:val="16"/>
        </w:rPr>
        <w:t>Source: FDI Intelligence (2021)</w:t>
      </w:r>
    </w:p>
    <w:p w14:paraId="4C454000" w14:textId="234D2D4B" w:rsidR="00E73989" w:rsidRDefault="00E73989" w:rsidP="00E73989">
      <w:pPr>
        <w:spacing w:after="0"/>
        <w:rPr>
          <w:rFonts w:ascii="Helvetica" w:eastAsiaTheme="minorHAnsi" w:hAnsi="Helvetica" w:cs="Helvetica"/>
          <w:sz w:val="20"/>
          <w:szCs w:val="20"/>
          <w:lang w:eastAsia="en-US"/>
        </w:rPr>
      </w:pPr>
    </w:p>
    <w:p w14:paraId="62CF6DE9" w14:textId="4BEEE51F" w:rsidR="00F910D8" w:rsidRDefault="00F910D8" w:rsidP="00E73989">
      <w:pPr>
        <w:spacing w:after="0"/>
        <w:rPr>
          <w:rFonts w:ascii="Helvetica" w:eastAsiaTheme="minorHAnsi" w:hAnsi="Helvetica" w:cs="Helvetica"/>
          <w:sz w:val="20"/>
          <w:szCs w:val="20"/>
          <w:lang w:eastAsia="en-US"/>
        </w:rPr>
      </w:pPr>
    </w:p>
    <w:p w14:paraId="26D8AC82" w14:textId="03E36A8E" w:rsidR="00F910D8" w:rsidRDefault="00F910D8" w:rsidP="00E73989">
      <w:pPr>
        <w:spacing w:after="0"/>
        <w:rPr>
          <w:rFonts w:ascii="Helvetica" w:eastAsiaTheme="minorHAnsi" w:hAnsi="Helvetica" w:cs="Helvetica"/>
          <w:sz w:val="20"/>
          <w:szCs w:val="20"/>
          <w:lang w:eastAsia="en-US"/>
        </w:rPr>
      </w:pPr>
    </w:p>
    <w:p w14:paraId="467B835B" w14:textId="017F9D45" w:rsidR="00F910D8" w:rsidRDefault="00F910D8" w:rsidP="00E73989">
      <w:pPr>
        <w:spacing w:after="0"/>
        <w:rPr>
          <w:rFonts w:ascii="Helvetica" w:eastAsiaTheme="minorHAnsi" w:hAnsi="Helvetica" w:cs="Helvetica"/>
          <w:sz w:val="20"/>
          <w:szCs w:val="20"/>
          <w:lang w:eastAsia="en-US"/>
        </w:rPr>
      </w:pPr>
    </w:p>
    <w:p w14:paraId="17C11DA9" w14:textId="2099F89B" w:rsidR="00F910D8" w:rsidRDefault="00F910D8" w:rsidP="00E73989">
      <w:pPr>
        <w:spacing w:after="0"/>
        <w:rPr>
          <w:rFonts w:ascii="Helvetica" w:eastAsiaTheme="minorHAnsi" w:hAnsi="Helvetica" w:cs="Helvetica"/>
          <w:sz w:val="20"/>
          <w:szCs w:val="20"/>
          <w:lang w:eastAsia="en-US"/>
        </w:rPr>
      </w:pPr>
    </w:p>
    <w:p w14:paraId="4DE31359" w14:textId="70E36198" w:rsidR="00F910D8" w:rsidRDefault="00F910D8" w:rsidP="00E73989">
      <w:pPr>
        <w:spacing w:after="0"/>
        <w:rPr>
          <w:rFonts w:ascii="Helvetica" w:eastAsiaTheme="minorHAnsi" w:hAnsi="Helvetica" w:cs="Helvetica"/>
          <w:sz w:val="20"/>
          <w:szCs w:val="20"/>
          <w:lang w:eastAsia="en-US"/>
        </w:rPr>
      </w:pPr>
    </w:p>
    <w:p w14:paraId="5E23FB6E" w14:textId="3BEBA5FA" w:rsidR="00F910D8" w:rsidRDefault="00F910D8" w:rsidP="00E73989">
      <w:pPr>
        <w:spacing w:after="0"/>
        <w:rPr>
          <w:rFonts w:ascii="Helvetica" w:eastAsiaTheme="minorHAnsi" w:hAnsi="Helvetica" w:cs="Helvetica"/>
          <w:sz w:val="20"/>
          <w:szCs w:val="20"/>
          <w:lang w:eastAsia="en-US"/>
        </w:rPr>
      </w:pPr>
    </w:p>
    <w:p w14:paraId="5A4B4BD9" w14:textId="77777777" w:rsidR="00F910D8" w:rsidRPr="00E73989" w:rsidRDefault="00F910D8" w:rsidP="00E73989">
      <w:pPr>
        <w:spacing w:after="0"/>
        <w:rPr>
          <w:rFonts w:ascii="Helvetica" w:eastAsiaTheme="minorHAnsi" w:hAnsi="Helvetica" w:cs="Helvetica"/>
          <w:sz w:val="20"/>
          <w:szCs w:val="20"/>
          <w:lang w:eastAsia="en-US"/>
        </w:rPr>
      </w:pPr>
    </w:p>
    <w:p w14:paraId="54ED9AE4" w14:textId="0E53573C" w:rsidR="00E73989" w:rsidRPr="00E73989" w:rsidRDefault="00E73989" w:rsidP="00E73989">
      <w:pPr>
        <w:pStyle w:val="Heading1"/>
        <w:ind w:left="426" w:hanging="426"/>
        <w:rPr>
          <w:sz w:val="22"/>
          <w:szCs w:val="22"/>
        </w:rPr>
      </w:pPr>
      <w:bookmarkStart w:id="31" w:name="_Toc87202397"/>
      <w:r w:rsidRPr="00E73989">
        <w:rPr>
          <w:sz w:val="22"/>
          <w:szCs w:val="22"/>
        </w:rPr>
        <w:lastRenderedPageBreak/>
        <w:t>Tourism market overview: Ghana</w:t>
      </w:r>
      <w:bookmarkEnd w:id="31"/>
    </w:p>
    <w:p w14:paraId="765D60EB" w14:textId="0EAC3FDF" w:rsidR="00E73989" w:rsidRPr="00E73989" w:rsidRDefault="00E73989" w:rsidP="00E73989">
      <w:pPr>
        <w:spacing w:after="0"/>
        <w:jc w:val="both"/>
        <w:rPr>
          <w:rFonts w:ascii="Helvetica" w:hAnsi="Helvetica" w:cs="Helvetica"/>
          <w:sz w:val="20"/>
          <w:szCs w:val="20"/>
        </w:rPr>
      </w:pPr>
      <w:r w:rsidRPr="00E73989">
        <w:rPr>
          <w:rFonts w:ascii="Helvetica" w:hAnsi="Helvetica" w:cs="Helvetica"/>
          <w:sz w:val="20"/>
          <w:szCs w:val="20"/>
        </w:rPr>
        <w:t>Tourism is considered one of the world’s major economic sectors. It is the 3</w:t>
      </w:r>
      <w:r w:rsidRPr="00E73989">
        <w:rPr>
          <w:rFonts w:ascii="Helvetica" w:hAnsi="Helvetica" w:cs="Helvetica"/>
          <w:sz w:val="20"/>
          <w:szCs w:val="20"/>
          <w:vertAlign w:val="superscript"/>
        </w:rPr>
        <w:t>rd</w:t>
      </w:r>
      <w:r w:rsidRPr="00E73989">
        <w:rPr>
          <w:rFonts w:ascii="Helvetica" w:hAnsi="Helvetica" w:cs="Helvetica"/>
          <w:sz w:val="20"/>
          <w:szCs w:val="20"/>
        </w:rPr>
        <w:t xml:space="preserve"> largest export category globally (after fuels and chemicals) and in 2019 accounted for 7 of global trade (</w:t>
      </w:r>
      <w:r w:rsidRPr="00E73989">
        <w:rPr>
          <w:rFonts w:ascii="Helvetica" w:hAnsi="Helvetica" w:cs="Helvetica"/>
          <w:i/>
          <w:sz w:val="20"/>
          <w:szCs w:val="20"/>
        </w:rPr>
        <w:t>UNWTO, 2020</w:t>
      </w:r>
      <w:r w:rsidRPr="00E73989">
        <w:rPr>
          <w:rFonts w:ascii="Helvetica" w:hAnsi="Helvetica" w:cs="Helvetica"/>
          <w:sz w:val="20"/>
          <w:szCs w:val="20"/>
        </w:rPr>
        <w:t>). In Africa, travel and tourism grew by 5.6% in 2018 compared to the global average of 3.9% with a growth of 3.2% for the economy. As such, Africa is considered the 2</w:t>
      </w:r>
      <w:r w:rsidRPr="00E73989">
        <w:rPr>
          <w:rFonts w:ascii="Helvetica" w:hAnsi="Helvetica" w:cs="Helvetica"/>
          <w:sz w:val="20"/>
          <w:szCs w:val="20"/>
          <w:vertAlign w:val="superscript"/>
        </w:rPr>
        <w:t>nd</w:t>
      </w:r>
      <w:r w:rsidRPr="00E73989">
        <w:rPr>
          <w:rFonts w:ascii="Helvetica" w:hAnsi="Helvetica" w:cs="Helvetica"/>
          <w:sz w:val="20"/>
          <w:szCs w:val="20"/>
        </w:rPr>
        <w:t xml:space="preserve"> fastest growing tourism region in the world after Asia.</w:t>
      </w:r>
    </w:p>
    <w:p w14:paraId="775C098F" w14:textId="77777777" w:rsidR="00E73989" w:rsidRPr="00E73989" w:rsidRDefault="00E73989" w:rsidP="00E73989">
      <w:pPr>
        <w:spacing w:after="0"/>
        <w:jc w:val="both"/>
        <w:rPr>
          <w:rFonts w:ascii="Arial Narrow" w:hAnsi="Arial Narrow"/>
        </w:rPr>
      </w:pPr>
    </w:p>
    <w:p w14:paraId="20E7AC43" w14:textId="1203B4D0" w:rsidR="00E73989" w:rsidRPr="00E73989" w:rsidRDefault="00E73989" w:rsidP="00E73989">
      <w:pPr>
        <w:spacing w:after="0"/>
        <w:jc w:val="both"/>
        <w:rPr>
          <w:rFonts w:ascii="Helvetica" w:hAnsi="Helvetica" w:cs="Helvetica"/>
          <w:sz w:val="20"/>
          <w:szCs w:val="20"/>
        </w:rPr>
      </w:pPr>
      <w:r w:rsidRPr="00E73989">
        <w:rPr>
          <w:rFonts w:ascii="Helvetica" w:hAnsi="Helvetica" w:cs="Helvetica"/>
          <w:sz w:val="20"/>
          <w:szCs w:val="20"/>
        </w:rPr>
        <w:t>As the world is facing an unprecedented global health, social and economic emergency with the global COVID-19 pandemic, travel and tourism is among the most affected sectors, however with travel restrictions being eased, airplanes are no longer grounded, hotels have re-opened and travel restrictions put in place and virtually all countries around the world have changed.</w:t>
      </w:r>
    </w:p>
    <w:p w14:paraId="72C83CCF" w14:textId="77777777" w:rsidR="00E73989" w:rsidRPr="00E73989" w:rsidRDefault="00E73989" w:rsidP="00E73989">
      <w:pPr>
        <w:spacing w:after="0"/>
        <w:jc w:val="both"/>
        <w:rPr>
          <w:rFonts w:ascii="Helvetica" w:hAnsi="Helvetica" w:cs="Helvetica"/>
          <w:sz w:val="20"/>
          <w:szCs w:val="20"/>
        </w:rPr>
      </w:pPr>
    </w:p>
    <w:p w14:paraId="06D1D36E" w14:textId="7658B11D" w:rsidR="00E73989" w:rsidRPr="00E73989" w:rsidRDefault="00E73989" w:rsidP="00E73989">
      <w:pPr>
        <w:spacing w:after="0"/>
        <w:jc w:val="both"/>
        <w:rPr>
          <w:rFonts w:ascii="Helvetica" w:hAnsi="Helvetica" w:cs="Helvetica"/>
          <w:sz w:val="20"/>
          <w:szCs w:val="20"/>
        </w:rPr>
      </w:pPr>
      <w:r w:rsidRPr="00E73989">
        <w:rPr>
          <w:rFonts w:ascii="Helvetica" w:hAnsi="Helvetica" w:cs="Helvetica"/>
          <w:sz w:val="20"/>
          <w:szCs w:val="20"/>
        </w:rPr>
        <w:t>Before the abrupt arrival of COVID-19 in 2020, tourism has been a driver for the South African economy over the last decade with consistent growth in tourism arrivals. The highest growth from this market being seen in 2018 with a 18.6% y-o-y growth and over 20,000 arrivals.</w:t>
      </w:r>
    </w:p>
    <w:p w14:paraId="3AA8CAC0" w14:textId="77777777" w:rsidR="00E73989" w:rsidRPr="00E73989" w:rsidRDefault="00E73989" w:rsidP="00E73989">
      <w:pPr>
        <w:spacing w:after="0"/>
        <w:jc w:val="both"/>
        <w:rPr>
          <w:rFonts w:ascii="Helvetica" w:hAnsi="Helvetica" w:cs="Helvetica"/>
          <w:sz w:val="20"/>
          <w:szCs w:val="20"/>
        </w:rPr>
      </w:pPr>
    </w:p>
    <w:p w14:paraId="7876EC88" w14:textId="61E2B4C0" w:rsidR="00E73989" w:rsidRPr="00E73989" w:rsidRDefault="00E73989" w:rsidP="00E73989">
      <w:pPr>
        <w:pStyle w:val="Heading2"/>
        <w:numPr>
          <w:ilvl w:val="1"/>
          <w:numId w:val="3"/>
        </w:numPr>
        <w:ind w:left="426" w:hanging="426"/>
      </w:pPr>
      <w:bookmarkStart w:id="32" w:name="_Toc87202398"/>
      <w:r w:rsidRPr="00E73989">
        <w:t>Ghanaian tourist arrivals to South Africa</w:t>
      </w:r>
      <w:bookmarkEnd w:id="32"/>
      <w:r w:rsidRPr="00E73989">
        <w:t xml:space="preserve"> </w:t>
      </w:r>
    </w:p>
    <w:p w14:paraId="5ED00C3B" w14:textId="59C271B6" w:rsidR="00E73989" w:rsidRPr="00E73989" w:rsidRDefault="00E73989" w:rsidP="00E73989">
      <w:pPr>
        <w:spacing w:after="0"/>
        <w:jc w:val="both"/>
        <w:rPr>
          <w:rFonts w:ascii="Helvetica" w:hAnsi="Helvetica" w:cs="Helvetica"/>
          <w:sz w:val="20"/>
          <w:szCs w:val="20"/>
        </w:rPr>
      </w:pPr>
      <w:r w:rsidRPr="00E73989">
        <w:rPr>
          <w:rFonts w:ascii="Helvetica" w:hAnsi="Helvetica" w:cs="Helvetica"/>
          <w:sz w:val="20"/>
          <w:szCs w:val="20"/>
        </w:rPr>
        <w:t xml:space="preserve">The graph below depicts total tourist arrivals from Ghana into South Africa from 2017 - 2020.  A -71.4% decline in Ghanaian tourist arrivals was experienced in 2020 due to the impact of the pandemic on international travel. </w:t>
      </w:r>
    </w:p>
    <w:p w14:paraId="6E721271" w14:textId="77777777" w:rsidR="00E73989" w:rsidRPr="00E73989" w:rsidRDefault="00E73989" w:rsidP="00E73989">
      <w:pPr>
        <w:spacing w:after="0"/>
        <w:jc w:val="both"/>
        <w:rPr>
          <w:rFonts w:ascii="Helvetica" w:hAnsi="Helvetica" w:cs="Helvetica"/>
          <w:sz w:val="20"/>
          <w:szCs w:val="20"/>
        </w:rPr>
      </w:pPr>
    </w:p>
    <w:p w14:paraId="293A5F2E" w14:textId="619BF749" w:rsidR="00E73989" w:rsidRPr="00E73989" w:rsidRDefault="00E73989" w:rsidP="00E73989">
      <w:pPr>
        <w:pStyle w:val="NormalWeb"/>
        <w:spacing w:before="0" w:beforeAutospacing="0" w:after="0" w:afterAutospacing="0" w:line="276" w:lineRule="auto"/>
        <w:jc w:val="both"/>
        <w:textAlignment w:val="baseline"/>
        <w:rPr>
          <w:rFonts w:ascii="Helvetica" w:eastAsiaTheme="minorEastAsia" w:hAnsi="Helvetica" w:cs="Helvetica"/>
          <w:color w:val="000000" w:themeColor="text1"/>
          <w:kern w:val="24"/>
          <w:sz w:val="20"/>
          <w:szCs w:val="20"/>
        </w:rPr>
      </w:pPr>
      <w:r w:rsidRPr="00E73989">
        <w:rPr>
          <w:rFonts w:ascii="Helvetica" w:eastAsiaTheme="minorEastAsia" w:hAnsi="Helvetica" w:cs="Helvetica"/>
          <w:color w:val="000000" w:themeColor="text1"/>
          <w:kern w:val="24"/>
          <w:sz w:val="20"/>
          <w:szCs w:val="20"/>
        </w:rPr>
        <w:t xml:space="preserve">In 2020, Ghanaian tourist to South Africa primarily travelled for MICE (25.0%), Holiday (21.9%) and VFR (19.0%). Travellers from this country are typically youth, between the ages of 25-34 (36.8%) and 35-44 (29.5%). </w:t>
      </w:r>
    </w:p>
    <w:p w14:paraId="3F62315E" w14:textId="77777777" w:rsidR="00E73989" w:rsidRPr="00F910D8" w:rsidRDefault="00E73989" w:rsidP="00E73989">
      <w:pPr>
        <w:spacing w:after="0"/>
        <w:jc w:val="both"/>
        <w:rPr>
          <w:rFonts w:ascii="Helvetica" w:hAnsi="Helvetica" w:cs="Helvetica"/>
          <w:sz w:val="20"/>
          <w:szCs w:val="20"/>
        </w:rPr>
      </w:pPr>
    </w:p>
    <w:p w14:paraId="40F831FB" w14:textId="09DF2A09" w:rsidR="00F23212" w:rsidRPr="00F23212" w:rsidRDefault="00F23212" w:rsidP="00F23212">
      <w:pPr>
        <w:pStyle w:val="Caption"/>
        <w:keepNext/>
        <w:spacing w:after="0"/>
        <w:jc w:val="both"/>
        <w:rPr>
          <w:rFonts w:ascii="Helvetica" w:hAnsi="Helvetica" w:cs="Helvetica"/>
        </w:rPr>
      </w:pPr>
      <w:r w:rsidRPr="00F23212">
        <w:rPr>
          <w:rFonts w:ascii="Helvetica" w:hAnsi="Helvetica" w:cs="Helvetica"/>
        </w:rPr>
        <w:t xml:space="preserve">Figure </w:t>
      </w:r>
      <w:r w:rsidRPr="00F23212">
        <w:rPr>
          <w:rFonts w:ascii="Helvetica" w:hAnsi="Helvetica" w:cs="Helvetica"/>
        </w:rPr>
        <w:fldChar w:fldCharType="begin"/>
      </w:r>
      <w:r w:rsidRPr="00F23212">
        <w:rPr>
          <w:rFonts w:ascii="Helvetica" w:hAnsi="Helvetica" w:cs="Helvetica"/>
        </w:rPr>
        <w:instrText xml:space="preserve"> SEQ Figure \* ARABIC </w:instrText>
      </w:r>
      <w:r w:rsidRPr="00F23212">
        <w:rPr>
          <w:rFonts w:ascii="Helvetica" w:hAnsi="Helvetica" w:cs="Helvetica"/>
        </w:rPr>
        <w:fldChar w:fldCharType="separate"/>
      </w:r>
      <w:r w:rsidR="003B149F">
        <w:rPr>
          <w:rFonts w:ascii="Helvetica" w:hAnsi="Helvetica" w:cs="Helvetica"/>
          <w:noProof/>
        </w:rPr>
        <w:t>33</w:t>
      </w:r>
      <w:r w:rsidRPr="00F23212">
        <w:rPr>
          <w:rFonts w:ascii="Helvetica" w:hAnsi="Helvetica" w:cs="Helvetica"/>
        </w:rPr>
        <w:fldChar w:fldCharType="end"/>
      </w:r>
      <w:r w:rsidRPr="00F23212">
        <w:rPr>
          <w:rFonts w:ascii="Helvetica" w:hAnsi="Helvetica" w:cs="Helvetica"/>
        </w:rPr>
        <w:t>: Ghanaian tourist arrivals to South Africa, 2017-2020</w:t>
      </w:r>
    </w:p>
    <w:p w14:paraId="350CABD4" w14:textId="77777777" w:rsidR="00E73989" w:rsidRPr="00E73989" w:rsidRDefault="00E73989" w:rsidP="00E73989">
      <w:pPr>
        <w:spacing w:after="0"/>
        <w:jc w:val="both"/>
        <w:rPr>
          <w:rFonts w:ascii="Arial Narrow" w:hAnsi="Arial Narrow"/>
          <w:b/>
          <w:bCs/>
          <w:sz w:val="16"/>
          <w:szCs w:val="16"/>
        </w:rPr>
      </w:pPr>
      <w:r w:rsidRPr="00E73989">
        <w:rPr>
          <w:rFonts w:ascii="Helvetica" w:hAnsi="Helvetica" w:cs="Helvetica"/>
          <w:noProof/>
        </w:rPr>
        <w:drawing>
          <wp:inline distT="0" distB="0" distL="0" distR="0" wp14:anchorId="3798B7F4" wp14:editId="0C957D48">
            <wp:extent cx="6124575" cy="2544793"/>
            <wp:effectExtent l="0" t="0" r="9525" b="8255"/>
            <wp:docPr id="76" name="Chart 76">
              <a:extLst xmlns:a="http://schemas.openxmlformats.org/drawingml/2006/main">
                <a:ext uri="{FF2B5EF4-FFF2-40B4-BE49-F238E27FC236}">
                  <a16:creationId xmlns:a16="http://schemas.microsoft.com/office/drawing/2014/main" id="{8E53AF3E-6B92-4024-AD67-54FEEAA061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F910D8">
        <w:rPr>
          <w:rFonts w:ascii="Helvetica" w:hAnsi="Helvetica" w:cs="Helvetica"/>
          <w:i/>
          <w:iCs/>
          <w:sz w:val="16"/>
          <w:szCs w:val="16"/>
        </w:rPr>
        <w:t>Source: South African Tourism (SAT), 2021</w:t>
      </w:r>
    </w:p>
    <w:p w14:paraId="4228C533" w14:textId="77777777" w:rsidR="00E73989" w:rsidRPr="00F23212" w:rsidRDefault="00E73989" w:rsidP="00E73989">
      <w:pPr>
        <w:spacing w:after="0"/>
        <w:rPr>
          <w:rFonts w:ascii="Helvetica" w:hAnsi="Helvetica" w:cs="Helvetica"/>
          <w:sz w:val="20"/>
          <w:szCs w:val="20"/>
        </w:rPr>
      </w:pPr>
    </w:p>
    <w:p w14:paraId="0055D61D" w14:textId="20E7AC43" w:rsidR="00E73989" w:rsidRPr="00F910D8" w:rsidRDefault="00F910D8" w:rsidP="00F910D8">
      <w:pPr>
        <w:pStyle w:val="Heading2"/>
        <w:numPr>
          <w:ilvl w:val="1"/>
          <w:numId w:val="32"/>
        </w:numPr>
        <w:ind w:left="426" w:hanging="426"/>
      </w:pPr>
      <w:bookmarkStart w:id="33" w:name="_Toc87202399"/>
      <w:r w:rsidRPr="00F910D8">
        <w:t>Ghan</w:t>
      </w:r>
      <w:r>
        <w:t>aian tourist arrivals into the W</w:t>
      </w:r>
      <w:r w:rsidRPr="00F910D8">
        <w:t xml:space="preserve">estern </w:t>
      </w:r>
      <w:r>
        <w:t>C</w:t>
      </w:r>
      <w:r w:rsidRPr="00F910D8">
        <w:t>ape</w:t>
      </w:r>
      <w:bookmarkEnd w:id="33"/>
    </w:p>
    <w:p w14:paraId="7803BCBF" w14:textId="310946F4" w:rsidR="00E73989" w:rsidRPr="00F910D8" w:rsidRDefault="00E73989" w:rsidP="00E73989">
      <w:pPr>
        <w:spacing w:after="0"/>
        <w:jc w:val="both"/>
        <w:rPr>
          <w:rFonts w:ascii="Helvetica" w:hAnsi="Helvetica" w:cs="Helvetica"/>
          <w:sz w:val="20"/>
          <w:szCs w:val="20"/>
        </w:rPr>
      </w:pPr>
      <w:r w:rsidRPr="00F910D8">
        <w:rPr>
          <w:rFonts w:ascii="Helvetica" w:hAnsi="Helvetica" w:cs="Helvetica"/>
          <w:sz w:val="20"/>
          <w:szCs w:val="20"/>
        </w:rPr>
        <w:t xml:space="preserve">Over the past few years, the Western Cape saw the strongest volume in Ghanaian tourists in 2018 with (3 929) visitors, however </w:t>
      </w:r>
      <w:r w:rsidR="00F910D8" w:rsidRPr="00F910D8">
        <w:rPr>
          <w:rFonts w:ascii="Helvetica" w:hAnsi="Helvetica" w:cs="Helvetica"/>
          <w:sz w:val="20"/>
          <w:szCs w:val="20"/>
        </w:rPr>
        <w:t>2019 saw a higher increase of 9.</w:t>
      </w:r>
      <w:r w:rsidRPr="00F910D8">
        <w:rPr>
          <w:rFonts w:ascii="Helvetica" w:hAnsi="Helvetica" w:cs="Helvetica"/>
          <w:sz w:val="20"/>
          <w:szCs w:val="20"/>
        </w:rPr>
        <w:t xml:space="preserve">4% to reach 4 298 arrivals. Following Gauteng, the Western Cape consistently recorded the largest share of Ghanaian tourists between 2017 and 2019. </w:t>
      </w:r>
    </w:p>
    <w:p w14:paraId="426CDDA7" w14:textId="100A7851" w:rsidR="00E73989" w:rsidRPr="00F910D8" w:rsidRDefault="00F23212" w:rsidP="00E73989">
      <w:pPr>
        <w:spacing w:after="0"/>
        <w:rPr>
          <w:rFonts w:ascii="Helvetica" w:hAnsi="Helvetica" w:cs="Helvetica"/>
          <w:i/>
          <w:iCs/>
          <w:sz w:val="16"/>
          <w:szCs w:val="16"/>
        </w:rPr>
      </w:pPr>
      <w:r w:rsidRPr="00F910D8">
        <w:rPr>
          <w:rFonts w:ascii="Helvetica" w:hAnsi="Helvetica" w:cs="Helvetica"/>
          <w:noProof/>
        </w:rPr>
        <w:lastRenderedPageBreak/>
        <w:drawing>
          <wp:anchor distT="0" distB="0" distL="114300" distR="114300" simplePos="0" relativeHeight="251761664" behindDoc="0" locked="0" layoutInCell="1" allowOverlap="1" wp14:anchorId="40EE3010" wp14:editId="1EF36CF4">
            <wp:simplePos x="0" y="0"/>
            <wp:positionH relativeFrom="margin">
              <wp:align>left</wp:align>
            </wp:positionH>
            <wp:positionV relativeFrom="paragraph">
              <wp:posOffset>161925</wp:posOffset>
            </wp:positionV>
            <wp:extent cx="5731510" cy="2475230"/>
            <wp:effectExtent l="0" t="0" r="2540" b="1270"/>
            <wp:wrapSquare wrapText="bothSides"/>
            <wp:docPr id="77" name="Chart 77">
              <a:extLst xmlns:a="http://schemas.openxmlformats.org/drawingml/2006/main">
                <a:ext uri="{FF2B5EF4-FFF2-40B4-BE49-F238E27FC236}">
                  <a16:creationId xmlns:a16="http://schemas.microsoft.com/office/drawing/2014/main" id="{A038E6B9-8C4C-42D1-99B3-707BE5E4B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V relativeFrom="margin">
              <wp14:pctHeight>0</wp14:pctHeight>
            </wp14:sizeRelV>
          </wp:anchor>
        </w:drawing>
      </w:r>
      <w:r>
        <w:rPr>
          <w:noProof/>
        </w:rPr>
        <mc:AlternateContent>
          <mc:Choice Requires="wps">
            <w:drawing>
              <wp:anchor distT="0" distB="0" distL="114300" distR="114300" simplePos="0" relativeHeight="251766784" behindDoc="0" locked="0" layoutInCell="1" allowOverlap="1" wp14:anchorId="57602668" wp14:editId="7706378C">
                <wp:simplePos x="0" y="0"/>
                <wp:positionH relativeFrom="margin">
                  <wp:align>left</wp:align>
                </wp:positionH>
                <wp:positionV relativeFrom="paragraph">
                  <wp:posOffset>0</wp:posOffset>
                </wp:positionV>
                <wp:extent cx="5731510" cy="163830"/>
                <wp:effectExtent l="0" t="0" r="2540" b="7620"/>
                <wp:wrapSquare wrapText="bothSides"/>
                <wp:docPr id="82" name="Text Box 82"/>
                <wp:cNvGraphicFramePr/>
                <a:graphic xmlns:a="http://schemas.openxmlformats.org/drawingml/2006/main">
                  <a:graphicData uri="http://schemas.microsoft.com/office/word/2010/wordprocessingShape">
                    <wps:wsp>
                      <wps:cNvSpPr txBox="1"/>
                      <wps:spPr>
                        <a:xfrm>
                          <a:off x="0" y="0"/>
                          <a:ext cx="5731510" cy="163830"/>
                        </a:xfrm>
                        <a:prstGeom prst="rect">
                          <a:avLst/>
                        </a:prstGeom>
                        <a:solidFill>
                          <a:prstClr val="white"/>
                        </a:solidFill>
                        <a:ln>
                          <a:noFill/>
                        </a:ln>
                      </wps:spPr>
                      <wps:txbx>
                        <w:txbxContent>
                          <w:p w14:paraId="31381818" w14:textId="0D80BFC4" w:rsidR="0036774F" w:rsidRPr="00F23212" w:rsidRDefault="0036774F" w:rsidP="00F23212">
                            <w:pPr>
                              <w:pStyle w:val="Caption"/>
                              <w:rPr>
                                <w:rFonts w:ascii="Helvetica" w:hAnsi="Helvetica" w:cs="Helvetica"/>
                                <w:noProof/>
                              </w:rPr>
                            </w:pPr>
                            <w:r w:rsidRPr="00F23212">
                              <w:rPr>
                                <w:rFonts w:ascii="Helvetica" w:hAnsi="Helvetica" w:cs="Helvetica"/>
                              </w:rPr>
                              <w:t xml:space="preserve">Figure </w:t>
                            </w:r>
                            <w:r w:rsidRPr="00F23212">
                              <w:rPr>
                                <w:rFonts w:ascii="Helvetica" w:hAnsi="Helvetica" w:cs="Helvetica"/>
                              </w:rPr>
                              <w:fldChar w:fldCharType="begin"/>
                            </w:r>
                            <w:r w:rsidRPr="00F23212">
                              <w:rPr>
                                <w:rFonts w:ascii="Helvetica" w:hAnsi="Helvetica" w:cs="Helvetica"/>
                              </w:rPr>
                              <w:instrText xml:space="preserve"> SEQ Figure \* ARABIC </w:instrText>
                            </w:r>
                            <w:r w:rsidRPr="00F23212">
                              <w:rPr>
                                <w:rFonts w:ascii="Helvetica" w:hAnsi="Helvetica" w:cs="Helvetica"/>
                              </w:rPr>
                              <w:fldChar w:fldCharType="separate"/>
                            </w:r>
                            <w:r>
                              <w:rPr>
                                <w:rFonts w:ascii="Helvetica" w:hAnsi="Helvetica" w:cs="Helvetica"/>
                                <w:noProof/>
                              </w:rPr>
                              <w:t>34</w:t>
                            </w:r>
                            <w:r w:rsidRPr="00F23212">
                              <w:rPr>
                                <w:rFonts w:ascii="Helvetica" w:hAnsi="Helvetica" w:cs="Helvetica"/>
                              </w:rPr>
                              <w:fldChar w:fldCharType="end"/>
                            </w:r>
                            <w:r w:rsidRPr="00F23212">
                              <w:rPr>
                                <w:rFonts w:ascii="Helvetica" w:hAnsi="Helvetica" w:cs="Helvetica"/>
                              </w:rPr>
                              <w:t>: Ghanaian tourist arrivals to the Western Cape, 2017-2019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02668" id="Text Box 82" o:spid="_x0000_s1027" type="#_x0000_t202" style="position:absolute;margin-left:0;margin-top:0;width:451.3pt;height:12.9pt;z-index:251766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" stroked="f">
                <v:textbox inset="0,0,0,0">
                  <w:txbxContent>
                    <w:p w14:paraId="31381818" w14:textId="0D80BFC4" w:rsidR="0036774F" w:rsidRPr="00F23212" w:rsidRDefault="0036774F" w:rsidP="00F23212">
                      <w:pPr>
                        <w:pStyle w:val="Caption"/>
                        <w:rPr>
                          <w:rFonts w:ascii="Helvetica" w:hAnsi="Helvetica" w:cs="Helvetica"/>
                          <w:noProof/>
                        </w:rPr>
                      </w:pPr>
                      <w:r w:rsidRPr="00F23212">
                        <w:rPr>
                          <w:rFonts w:ascii="Helvetica" w:hAnsi="Helvetica" w:cs="Helvetica"/>
                        </w:rPr>
                        <w:t xml:space="preserve">Figure </w:t>
                      </w:r>
                      <w:r w:rsidRPr="00F23212">
                        <w:rPr>
                          <w:rFonts w:ascii="Helvetica" w:hAnsi="Helvetica" w:cs="Helvetica"/>
                        </w:rPr>
                        <w:fldChar w:fldCharType="begin"/>
                      </w:r>
                      <w:r w:rsidRPr="00F23212">
                        <w:rPr>
                          <w:rFonts w:ascii="Helvetica" w:hAnsi="Helvetica" w:cs="Helvetica"/>
                        </w:rPr>
                        <w:instrText xml:space="preserve"> SEQ Figure \* ARABIC </w:instrText>
                      </w:r>
                      <w:r w:rsidRPr="00F23212">
                        <w:rPr>
                          <w:rFonts w:ascii="Helvetica" w:hAnsi="Helvetica" w:cs="Helvetica"/>
                        </w:rPr>
                        <w:fldChar w:fldCharType="separate"/>
                      </w:r>
                      <w:r>
                        <w:rPr>
                          <w:rFonts w:ascii="Helvetica" w:hAnsi="Helvetica" w:cs="Helvetica"/>
                          <w:noProof/>
                        </w:rPr>
                        <w:t>34</w:t>
                      </w:r>
                      <w:r w:rsidRPr="00F23212">
                        <w:rPr>
                          <w:rFonts w:ascii="Helvetica" w:hAnsi="Helvetica" w:cs="Helvetica"/>
                        </w:rPr>
                        <w:fldChar w:fldCharType="end"/>
                      </w:r>
                      <w:r w:rsidRPr="00F23212">
                        <w:rPr>
                          <w:rFonts w:ascii="Helvetica" w:hAnsi="Helvetica" w:cs="Helvetica"/>
                        </w:rPr>
                        <w:t>: Ghanaian tourist arrivals to the Western Cape, 2017-2019</w:t>
                      </w:r>
                    </w:p>
                  </w:txbxContent>
                </v:textbox>
                <w10:wrap type="square" anchorx="margin"/>
              </v:shape>
            </w:pict>
          </mc:Fallback>
        </mc:AlternateContent>
      </w:r>
      <w:r w:rsidR="00E73989" w:rsidRPr="00F910D8">
        <w:rPr>
          <w:rFonts w:ascii="Helvetica" w:hAnsi="Helvetica" w:cs="Helvetica"/>
          <w:i/>
          <w:iCs/>
          <w:sz w:val="16"/>
          <w:szCs w:val="16"/>
        </w:rPr>
        <w:t>Source: South African Tourism (SAT), 2020</w:t>
      </w:r>
    </w:p>
    <w:p w14:paraId="02F2D8D0" w14:textId="06C2FCCE" w:rsidR="00E73989" w:rsidRPr="00F910D8" w:rsidRDefault="00E73989" w:rsidP="00E73989">
      <w:pPr>
        <w:spacing w:after="0"/>
        <w:rPr>
          <w:rFonts w:ascii="Helvetica" w:hAnsi="Helvetica" w:cs="Helvetica"/>
          <w:iCs/>
          <w:sz w:val="20"/>
          <w:szCs w:val="20"/>
        </w:rPr>
      </w:pPr>
    </w:p>
    <w:p w14:paraId="39745CBC" w14:textId="5B18E54A" w:rsidR="00E73989" w:rsidRPr="00F910D8" w:rsidRDefault="00F910D8" w:rsidP="00F910D8">
      <w:pPr>
        <w:pStyle w:val="Heading2"/>
        <w:numPr>
          <w:ilvl w:val="1"/>
          <w:numId w:val="32"/>
        </w:numPr>
        <w:ind w:left="426" w:hanging="426"/>
      </w:pPr>
      <w:bookmarkStart w:id="34" w:name="_Toc87202400"/>
      <w:r w:rsidRPr="00F910D8">
        <w:t>Ghanaian</w:t>
      </w:r>
      <w:r w:rsidR="00E73989" w:rsidRPr="00F910D8">
        <w:t xml:space="preserve"> </w:t>
      </w:r>
      <w:r>
        <w:t>passenger movement through Cape T</w:t>
      </w:r>
      <w:r w:rsidRPr="00F910D8">
        <w:t>own international airport</w:t>
      </w:r>
      <w:bookmarkEnd w:id="34"/>
      <w:r w:rsidRPr="00F910D8">
        <w:t xml:space="preserve"> </w:t>
      </w:r>
    </w:p>
    <w:p w14:paraId="35CCCC6B" w14:textId="42FA4781" w:rsidR="00E73989" w:rsidRPr="00F910D8" w:rsidRDefault="00E73989" w:rsidP="00E73989">
      <w:pPr>
        <w:spacing w:after="0"/>
        <w:jc w:val="both"/>
        <w:rPr>
          <w:rFonts w:ascii="Helvetica" w:eastAsia="Times New Roman" w:hAnsi="Helvetica" w:cs="Helvetica"/>
          <w:sz w:val="20"/>
          <w:szCs w:val="20"/>
        </w:rPr>
      </w:pPr>
      <w:r w:rsidRPr="00F910D8">
        <w:rPr>
          <w:rFonts w:ascii="Helvetica" w:eastAsia="Times New Roman" w:hAnsi="Helvetica" w:cs="Helvetica"/>
          <w:sz w:val="20"/>
          <w:szCs w:val="20"/>
        </w:rPr>
        <w:t>According to the latest OAG Traffic Analy</w:t>
      </w:r>
      <w:r w:rsidR="00F910D8">
        <w:rPr>
          <w:rFonts w:ascii="Helvetica" w:eastAsia="Times New Roman" w:hAnsi="Helvetica" w:cs="Helvetica"/>
          <w:sz w:val="20"/>
          <w:szCs w:val="20"/>
        </w:rPr>
        <w:t>s</w:t>
      </w:r>
      <w:r w:rsidRPr="00F910D8">
        <w:rPr>
          <w:rFonts w:ascii="Helvetica" w:eastAsia="Times New Roman" w:hAnsi="Helvetica" w:cs="Helvetica"/>
          <w:sz w:val="20"/>
          <w:szCs w:val="20"/>
        </w:rPr>
        <w:t>er data, Ghana passenger movement through the Cape Town International Airport started to plummet in April 2020. The decline followed after the nationwide lockdown commenced on 26 March 2020, resulting in no travel</w:t>
      </w:r>
      <w:r w:rsidR="00F910D8">
        <w:rPr>
          <w:rFonts w:ascii="Helvetica" w:eastAsia="Times New Roman" w:hAnsi="Helvetica" w:cs="Helvetica"/>
          <w:sz w:val="20"/>
          <w:szCs w:val="20"/>
        </w:rPr>
        <w:t>l</w:t>
      </w:r>
      <w:r w:rsidRPr="00F910D8">
        <w:rPr>
          <w:rFonts w:ascii="Helvetica" w:eastAsia="Times New Roman" w:hAnsi="Helvetica" w:cs="Helvetica"/>
          <w:sz w:val="20"/>
          <w:szCs w:val="20"/>
        </w:rPr>
        <w:t>ers for the period April – July 2020. Only 2 trave</w:t>
      </w:r>
      <w:r w:rsidR="00F910D8">
        <w:rPr>
          <w:rFonts w:ascii="Helvetica" w:eastAsia="Times New Roman" w:hAnsi="Helvetica" w:cs="Helvetica"/>
          <w:sz w:val="20"/>
          <w:szCs w:val="20"/>
        </w:rPr>
        <w:t>l</w:t>
      </w:r>
      <w:r w:rsidRPr="00F910D8">
        <w:rPr>
          <w:rFonts w:ascii="Helvetica" w:eastAsia="Times New Roman" w:hAnsi="Helvetica" w:cs="Helvetica"/>
          <w:sz w:val="20"/>
          <w:szCs w:val="20"/>
        </w:rPr>
        <w:t xml:space="preserve">lers were recorded in August and a mere 8 in September. </w:t>
      </w:r>
    </w:p>
    <w:p w14:paraId="0CCB0682" w14:textId="77777777" w:rsidR="00E73989" w:rsidRPr="00F910D8" w:rsidRDefault="00E73989" w:rsidP="00E73989">
      <w:pPr>
        <w:spacing w:after="0"/>
        <w:jc w:val="both"/>
        <w:rPr>
          <w:rFonts w:ascii="Helvetica" w:eastAsia="Times New Roman" w:hAnsi="Helvetica" w:cs="Helvetica"/>
          <w:sz w:val="20"/>
          <w:szCs w:val="20"/>
        </w:rPr>
      </w:pPr>
    </w:p>
    <w:p w14:paraId="63C55056" w14:textId="77777777" w:rsidR="00E73989" w:rsidRPr="00F910D8" w:rsidRDefault="00E73989" w:rsidP="00E73989">
      <w:pPr>
        <w:spacing w:after="0"/>
        <w:jc w:val="both"/>
        <w:rPr>
          <w:rFonts w:ascii="Helvetica" w:eastAsia="Times New Roman" w:hAnsi="Helvetica" w:cs="Helvetica"/>
          <w:sz w:val="20"/>
          <w:szCs w:val="20"/>
        </w:rPr>
      </w:pPr>
      <w:r w:rsidRPr="00F910D8">
        <w:rPr>
          <w:rFonts w:ascii="Helvetica" w:eastAsia="Times New Roman" w:hAnsi="Helvetica" w:cs="Helvetica"/>
          <w:sz w:val="20"/>
          <w:szCs w:val="20"/>
        </w:rPr>
        <w:t xml:space="preserve">In spite of the severe decline in air-travel between the two countries recovery in passenger movement picked up in the remainder of 2020. </w:t>
      </w:r>
    </w:p>
    <w:p w14:paraId="23A7EC67" w14:textId="77622C17" w:rsidR="00E73989" w:rsidRPr="00F910D8" w:rsidRDefault="00E73989" w:rsidP="00E73989">
      <w:pPr>
        <w:spacing w:after="0"/>
        <w:jc w:val="both"/>
        <w:rPr>
          <w:rFonts w:ascii="Helvetica" w:eastAsia="Times New Roman" w:hAnsi="Helvetica" w:cs="Helvetica"/>
          <w:sz w:val="20"/>
          <w:szCs w:val="20"/>
        </w:rPr>
      </w:pPr>
    </w:p>
    <w:p w14:paraId="7C24FA3D" w14:textId="384727CE" w:rsidR="00E73989" w:rsidRDefault="00E73989" w:rsidP="00E73989">
      <w:pPr>
        <w:spacing w:after="0"/>
        <w:jc w:val="both"/>
        <w:rPr>
          <w:rFonts w:ascii="Helvetica" w:eastAsia="Times New Roman" w:hAnsi="Helvetica" w:cs="Helvetica"/>
          <w:sz w:val="20"/>
          <w:szCs w:val="20"/>
        </w:rPr>
      </w:pPr>
      <w:r w:rsidRPr="00F910D8">
        <w:rPr>
          <w:rFonts w:ascii="Helvetica" w:eastAsia="Times New Roman" w:hAnsi="Helvetica" w:cs="Helvetica"/>
          <w:sz w:val="20"/>
          <w:szCs w:val="20"/>
        </w:rPr>
        <w:t>When observing movement over the first seven months of 2021, April and May recorded the largest number in Ghanaian passengers since the start of lockdown, with each mont</w:t>
      </w:r>
      <w:r w:rsidR="003B149F">
        <w:rPr>
          <w:rFonts w:ascii="Helvetica" w:eastAsia="Times New Roman" w:hAnsi="Helvetica" w:cs="Helvetica"/>
          <w:sz w:val="20"/>
          <w:szCs w:val="20"/>
        </w:rPr>
        <w:t>h recording over 200 passengers.</w:t>
      </w:r>
    </w:p>
    <w:p w14:paraId="0694B83A" w14:textId="36FC8250" w:rsidR="003B149F" w:rsidRDefault="003B149F" w:rsidP="00E73989">
      <w:pPr>
        <w:spacing w:after="0"/>
        <w:jc w:val="both"/>
        <w:rPr>
          <w:rFonts w:ascii="Helvetica" w:eastAsia="Times New Roman" w:hAnsi="Helvetica" w:cs="Helvetica"/>
          <w:sz w:val="20"/>
          <w:szCs w:val="20"/>
        </w:rPr>
      </w:pPr>
      <w:r w:rsidRPr="00E73989">
        <w:rPr>
          <w:rFonts w:ascii="Arial Narrow" w:hAnsi="Arial Narrow"/>
          <w:noProof/>
        </w:rPr>
        <w:drawing>
          <wp:anchor distT="0" distB="0" distL="114300" distR="114300" simplePos="0" relativeHeight="251762688" behindDoc="0" locked="0" layoutInCell="1" allowOverlap="1" wp14:anchorId="56FEF107" wp14:editId="52123661">
            <wp:simplePos x="0" y="0"/>
            <wp:positionH relativeFrom="margin">
              <wp:align>right</wp:align>
            </wp:positionH>
            <wp:positionV relativeFrom="paragraph">
              <wp:posOffset>368935</wp:posOffset>
            </wp:positionV>
            <wp:extent cx="6115050" cy="2371725"/>
            <wp:effectExtent l="0" t="0" r="0" b="9525"/>
            <wp:wrapSquare wrapText="bothSides"/>
            <wp:docPr id="78" name="Chart 78">
              <a:extLst xmlns:a="http://schemas.openxmlformats.org/drawingml/2006/main">
                <a:ext uri="{FF2B5EF4-FFF2-40B4-BE49-F238E27FC236}">
                  <a16:creationId xmlns:a16="http://schemas.microsoft.com/office/drawing/2014/main" id="{1D07019C-6C83-4621-B963-0BC1CB544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8832" behindDoc="0" locked="0" layoutInCell="1" allowOverlap="1" wp14:anchorId="615771FB" wp14:editId="217595A5">
                <wp:simplePos x="0" y="0"/>
                <wp:positionH relativeFrom="margin">
                  <wp:posOffset>5080</wp:posOffset>
                </wp:positionH>
                <wp:positionV relativeFrom="paragraph">
                  <wp:posOffset>191506</wp:posOffset>
                </wp:positionV>
                <wp:extent cx="6115050" cy="15494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6115050" cy="154940"/>
                        </a:xfrm>
                        <a:prstGeom prst="rect">
                          <a:avLst/>
                        </a:prstGeom>
                        <a:solidFill>
                          <a:prstClr val="white"/>
                        </a:solidFill>
                        <a:ln>
                          <a:noFill/>
                        </a:ln>
                      </wps:spPr>
                      <wps:txbx>
                        <w:txbxContent>
                          <w:p w14:paraId="31DD991D" w14:textId="6FA8D1C9" w:rsidR="0036774F" w:rsidRPr="00A95B76" w:rsidRDefault="0036774F" w:rsidP="003B149F">
                            <w:pPr>
                              <w:pStyle w:val="Caption"/>
                              <w:rPr>
                                <w:rFonts w:ascii="Arial Narrow" w:hAnsi="Arial Narrow"/>
                                <w:noProof/>
                              </w:rPr>
                            </w:pPr>
                            <w:r>
                              <w:t xml:space="preserve">Figure </w:t>
                            </w:r>
                            <w:r w:rsidR="00AE640F">
                              <w:fldChar w:fldCharType="begin"/>
                            </w:r>
                            <w:r w:rsidR="00AE640F">
                              <w:instrText xml:space="preserve"> SEQ Figure \* ARABIC </w:instrText>
                            </w:r>
                            <w:r w:rsidR="00AE640F">
                              <w:fldChar w:fldCharType="separate"/>
                            </w:r>
                            <w:r>
                              <w:rPr>
                                <w:noProof/>
                              </w:rPr>
                              <w:t>35</w:t>
                            </w:r>
                            <w:r w:rsidR="00AE640F">
                              <w:rPr>
                                <w:noProof/>
                              </w:rPr>
                              <w:fldChar w:fldCharType="end"/>
                            </w:r>
                            <w:r>
                              <w:t xml:space="preserve">: </w:t>
                            </w:r>
                            <w:r w:rsidRPr="00DD024E">
                              <w:t>Ghana</w:t>
                            </w:r>
                            <w:r>
                              <w:t>ian passenger movement through Cape T</w:t>
                            </w:r>
                            <w:r w:rsidRPr="00DD024E">
                              <w:t>own intern</w:t>
                            </w:r>
                            <w:r>
                              <w:t>ational airport, Jan 2019 - J</w:t>
                            </w:r>
                            <w:r w:rsidRPr="00DD024E">
                              <w:t>ul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771FB" id="Text Box 84" o:spid="_x0000_s1028" type="#_x0000_t202" style="position:absolute;left:0;text-align:left;margin-left:.4pt;margin-top:15.1pt;width:481.5pt;height:12.2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" stroked="f">
                <v:textbox inset="0,0,0,0">
                  <w:txbxContent>
                    <w:p w14:paraId="31DD991D" w14:textId="6FA8D1C9" w:rsidR="0036774F" w:rsidRPr="00A95B76" w:rsidRDefault="0036774F" w:rsidP="003B149F">
                      <w:pPr>
                        <w:pStyle w:val="Caption"/>
                        <w:rPr>
                          <w:rFonts w:ascii="Arial Narrow" w:hAnsi="Arial Narrow"/>
                          <w:noProof/>
                        </w:rPr>
                      </w:pPr>
                      <w:r>
                        <w:t xml:space="preserve">Figure </w:t>
                      </w:r>
                      <w:fldSimple w:instr=" SEQ Figure \* ARABIC ">
                        <w:r>
                          <w:rPr>
                            <w:noProof/>
                          </w:rPr>
                          <w:t>35</w:t>
                        </w:r>
                      </w:fldSimple>
                      <w:r>
                        <w:t xml:space="preserve">: </w:t>
                      </w:r>
                      <w:r w:rsidRPr="00DD024E">
                        <w:t>Ghana</w:t>
                      </w:r>
                      <w:r>
                        <w:t>ian passenger movement through Cape T</w:t>
                      </w:r>
                      <w:r w:rsidRPr="00DD024E">
                        <w:t>own intern</w:t>
                      </w:r>
                      <w:r>
                        <w:t>ational airport, Jan 2019 - J</w:t>
                      </w:r>
                      <w:r w:rsidRPr="00DD024E">
                        <w:t>ul 2021</w:t>
                      </w:r>
                    </w:p>
                  </w:txbxContent>
                </v:textbox>
                <w10:wrap type="square" anchorx="margin"/>
              </v:shape>
            </w:pict>
          </mc:Fallback>
        </mc:AlternateContent>
      </w:r>
    </w:p>
    <w:p w14:paraId="079699D8" w14:textId="77777777" w:rsidR="00E73989" w:rsidRPr="00F910D8" w:rsidRDefault="00E73989" w:rsidP="00E73989">
      <w:pPr>
        <w:spacing w:after="0"/>
        <w:rPr>
          <w:rFonts w:ascii="Helvetica" w:hAnsi="Helvetica" w:cs="Helvetica"/>
        </w:rPr>
      </w:pPr>
      <w:r w:rsidRPr="00F910D8">
        <w:rPr>
          <w:rFonts w:ascii="Helvetica" w:hAnsi="Helvetica" w:cs="Helvetica"/>
          <w:i/>
          <w:iCs/>
          <w:sz w:val="16"/>
          <w:szCs w:val="16"/>
        </w:rPr>
        <w:t>Source: OAG Traffic Analyzer, 2021</w:t>
      </w:r>
    </w:p>
    <w:p w14:paraId="082C0EE6" w14:textId="2DD98871" w:rsidR="00E73989" w:rsidRDefault="00E73989" w:rsidP="00E73989">
      <w:pPr>
        <w:spacing w:after="0"/>
        <w:rPr>
          <w:rFonts w:ascii="Helvetica" w:eastAsiaTheme="minorHAnsi" w:hAnsi="Helvetica" w:cs="Helvetica"/>
          <w:sz w:val="20"/>
          <w:szCs w:val="20"/>
          <w:lang w:eastAsia="en-US"/>
        </w:rPr>
      </w:pPr>
    </w:p>
    <w:p w14:paraId="1912FD64" w14:textId="23646A0E" w:rsidR="003B149F" w:rsidRPr="00E73989" w:rsidRDefault="003B149F" w:rsidP="00E73989">
      <w:pPr>
        <w:spacing w:after="0"/>
        <w:rPr>
          <w:rFonts w:ascii="Helvetica" w:eastAsiaTheme="minorHAnsi" w:hAnsi="Helvetica" w:cs="Helvetica"/>
          <w:sz w:val="20"/>
          <w:szCs w:val="20"/>
          <w:lang w:eastAsia="en-US"/>
        </w:rPr>
      </w:pPr>
    </w:p>
    <w:p w14:paraId="2C291953" w14:textId="77777777" w:rsidR="004172EB" w:rsidRPr="00E73989" w:rsidRDefault="004172EB" w:rsidP="004172EB">
      <w:pPr>
        <w:spacing w:after="0"/>
        <w:rPr>
          <w:rFonts w:ascii="Helvetica" w:hAnsi="Helvetica" w:cs="Helvetica"/>
          <w:sz w:val="16"/>
          <w:szCs w:val="16"/>
        </w:rPr>
      </w:pPr>
      <w:r w:rsidRPr="00E73989">
        <w:rPr>
          <w:rFonts w:ascii="Helvetica" w:hAnsi="Helvetica" w:cs="Helvetica"/>
          <w:sz w:val="16"/>
          <w:szCs w:val="16"/>
        </w:rPr>
        <w:t>DISCLAIMER:</w:t>
      </w:r>
    </w:p>
    <w:p w14:paraId="3FBD5387" w14:textId="77777777" w:rsidR="004172EB" w:rsidRPr="00E73989" w:rsidRDefault="004172EB" w:rsidP="004172EB">
      <w:pPr>
        <w:pStyle w:val="pa1"/>
        <w:spacing w:before="0" w:beforeAutospacing="0" w:after="0" w:afterAutospacing="0"/>
        <w:jc w:val="both"/>
        <w:rPr>
          <w:rFonts w:ascii="Helvetica" w:hAnsi="Helvetica" w:cs="Helvetica"/>
          <w:i/>
          <w:color w:val="000000"/>
          <w:sz w:val="16"/>
          <w:szCs w:val="16"/>
        </w:rPr>
      </w:pPr>
      <w:r w:rsidRPr="00E73989">
        <w:rPr>
          <w:rFonts w:ascii="Helvetica" w:hAnsi="Helvetica" w:cs="Helvetica"/>
          <w:i/>
          <w:color w:val="000000"/>
          <w:sz w:val="16"/>
          <w:szCs w:val="16"/>
        </w:rPr>
        <w:t>Wesgro has taken every effort to ensure that the information in this publication is accurate. We provide said information without representation or warranty whatsoever, whether expressed or implied. It is the responsibility of users of this publication to satisfy themselves of the accuracy of information contained herein. Wesgro cannot be held responsible for the contents of the publication in any way.</w:t>
      </w:r>
    </w:p>
    <w:p w14:paraId="108DEC5B" w14:textId="5287A9BB" w:rsidR="004F4821" w:rsidRPr="00E73989" w:rsidRDefault="004172EB" w:rsidP="00CE02D3">
      <w:pPr>
        <w:spacing w:before="100" w:beforeAutospacing="1" w:after="0"/>
        <w:rPr>
          <w:rFonts w:ascii="Helvetica" w:hAnsi="Helvetica" w:cs="Helvetica"/>
          <w:i/>
          <w:sz w:val="16"/>
          <w:szCs w:val="16"/>
        </w:rPr>
      </w:pPr>
      <w:r w:rsidRPr="00E73989">
        <w:rPr>
          <w:rFonts w:ascii="Helvetica" w:hAnsi="Helvetica" w:cs="Helvetica"/>
          <w:i/>
          <w:color w:val="000000"/>
          <w:sz w:val="16"/>
          <w:szCs w:val="16"/>
        </w:rPr>
        <w:t>© Wesgro, 2021</w:t>
      </w:r>
    </w:p>
    <w:sectPr w:rsidR="004F4821" w:rsidRPr="00E73989" w:rsidSect="009A4482">
      <w:headerReference w:type="even" r:id="rId65"/>
      <w:headerReference w:type="default" r:id="rId66"/>
      <w:pgSz w:w="11906" w:h="16838"/>
      <w:pgMar w:top="1361" w:right="1134" w:bottom="1361" w:left="1134"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6DDA7" w16cex:dateUtc="2021-06-30T10:10:00Z"/>
  <w16cex:commentExtensible w16cex:durableId="2486E33C" w16cex:dateUtc="2021-06-30T1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38AF85" w16cid:durableId="2486DDA7"/>
  <w16cid:commentId w16cid:paraId="71F8E6A9" w16cid:durableId="2486E33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57C5C" w14:textId="77777777" w:rsidR="00AE640F" w:rsidRDefault="00AE640F" w:rsidP="007D0106">
      <w:pPr>
        <w:spacing w:after="0" w:line="240" w:lineRule="auto"/>
      </w:pPr>
      <w:r>
        <w:separator/>
      </w:r>
    </w:p>
  </w:endnote>
  <w:endnote w:type="continuationSeparator" w:id="0">
    <w:p w14:paraId="0CE8D2A3" w14:textId="77777777" w:rsidR="00AE640F" w:rsidRDefault="00AE640F" w:rsidP="007D0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0C89C" w14:textId="77777777" w:rsidR="00AE640F" w:rsidRDefault="00AE640F" w:rsidP="007D0106">
      <w:pPr>
        <w:spacing w:after="0" w:line="240" w:lineRule="auto"/>
      </w:pPr>
      <w:r>
        <w:separator/>
      </w:r>
    </w:p>
  </w:footnote>
  <w:footnote w:type="continuationSeparator" w:id="0">
    <w:p w14:paraId="39F3B9CF" w14:textId="77777777" w:rsidR="00AE640F" w:rsidRDefault="00AE640F" w:rsidP="007D0106">
      <w:pPr>
        <w:spacing w:after="0" w:line="240" w:lineRule="auto"/>
      </w:pPr>
      <w:r>
        <w:continuationSeparator/>
      </w:r>
    </w:p>
  </w:footnote>
  <w:footnote w:id="1">
    <w:p w14:paraId="7429FE81" w14:textId="77777777" w:rsidR="0036774F" w:rsidRPr="00636E58" w:rsidRDefault="0036774F" w:rsidP="00612AEE">
      <w:pPr>
        <w:spacing w:after="0"/>
        <w:jc w:val="both"/>
        <w:rPr>
          <w:rFonts w:ascii="Arial Narrow" w:eastAsia="Calibri" w:hAnsi="Arial Narrow" w:cs="Helvetica"/>
          <w:i/>
          <w:iCs/>
          <w:sz w:val="18"/>
          <w:szCs w:val="18"/>
          <w:lang w:eastAsia="en-US"/>
        </w:rPr>
      </w:pPr>
      <w:r w:rsidRPr="00636E58">
        <w:rPr>
          <w:rStyle w:val="FootnoteReference"/>
          <w:sz w:val="18"/>
          <w:szCs w:val="18"/>
        </w:rPr>
        <w:footnoteRef/>
      </w:r>
      <w:r w:rsidRPr="00636E58">
        <w:rPr>
          <w:sz w:val="18"/>
          <w:szCs w:val="18"/>
        </w:rPr>
        <w:t xml:space="preserve"> </w:t>
      </w:r>
      <w:r w:rsidRPr="00DF5849">
        <w:rPr>
          <w:rFonts w:ascii="Helvetica" w:eastAsia="Calibri" w:hAnsi="Helvetica" w:cs="Helvetica"/>
          <w:i/>
          <w:iCs/>
          <w:sz w:val="18"/>
          <w:szCs w:val="18"/>
          <w:lang w:eastAsia="en-US"/>
        </w:rPr>
        <w:t>Sources: CIA World Factbook, 2021</w:t>
      </w:r>
    </w:p>
    <w:p w14:paraId="0A159F57" w14:textId="77777777" w:rsidR="0036774F" w:rsidRPr="00636E58" w:rsidRDefault="0036774F" w:rsidP="00612AEE">
      <w:pPr>
        <w:pStyle w:val="FootnoteText"/>
        <w:rPr>
          <w:lang w:val="en-US"/>
        </w:rPr>
      </w:pPr>
    </w:p>
  </w:footnote>
  <w:footnote w:id="2">
    <w:p w14:paraId="48A36DFD" w14:textId="3836DA6B" w:rsidR="0036774F" w:rsidRPr="0096356E" w:rsidRDefault="0036774F" w:rsidP="00A30941">
      <w:pPr>
        <w:spacing w:after="0"/>
        <w:jc w:val="both"/>
        <w:rPr>
          <w:rFonts w:ascii="Helvetica" w:eastAsia="Calibri" w:hAnsi="Helvetica" w:cs="Helvetica"/>
          <w:i/>
          <w:iCs/>
          <w:sz w:val="18"/>
          <w:szCs w:val="18"/>
          <w:lang w:eastAsia="en-US"/>
        </w:rPr>
      </w:pPr>
      <w:r w:rsidRPr="0096356E">
        <w:rPr>
          <w:rStyle w:val="FootnoteReference"/>
          <w:rFonts w:ascii="Helvetica" w:hAnsi="Helvetica" w:cs="Helvetica"/>
          <w:sz w:val="18"/>
          <w:szCs w:val="18"/>
        </w:rPr>
        <w:footnoteRef/>
      </w:r>
      <w:r w:rsidRPr="0096356E">
        <w:rPr>
          <w:rFonts w:ascii="Helvetica" w:hAnsi="Helvetica" w:cs="Helvetica"/>
          <w:sz w:val="18"/>
          <w:szCs w:val="18"/>
        </w:rPr>
        <w:t xml:space="preserve"> </w:t>
      </w:r>
      <w:r w:rsidRPr="0096356E">
        <w:rPr>
          <w:rFonts w:ascii="Helvetica" w:eastAsia="Calibri" w:hAnsi="Helvetica" w:cs="Helvetica"/>
          <w:i/>
          <w:iCs/>
          <w:sz w:val="18"/>
          <w:szCs w:val="18"/>
          <w:lang w:eastAsia="en-US"/>
        </w:rPr>
        <w:t xml:space="preserve">Source: CIA </w:t>
      </w:r>
      <w:r>
        <w:rPr>
          <w:rFonts w:ascii="Helvetica" w:eastAsia="Calibri" w:hAnsi="Helvetica" w:cs="Helvetica"/>
          <w:i/>
          <w:iCs/>
          <w:sz w:val="18"/>
          <w:szCs w:val="18"/>
          <w:lang w:eastAsia="en-US"/>
        </w:rPr>
        <w:t>World Factbook (</w:t>
      </w:r>
      <w:r w:rsidRPr="0096356E">
        <w:rPr>
          <w:rFonts w:ascii="Helvetica" w:eastAsia="Calibri" w:hAnsi="Helvetica" w:cs="Helvetica"/>
          <w:i/>
          <w:iCs/>
          <w:sz w:val="18"/>
          <w:szCs w:val="18"/>
          <w:lang w:eastAsia="en-US"/>
        </w:rPr>
        <w:t>2021</w:t>
      </w:r>
      <w:r>
        <w:rPr>
          <w:rFonts w:ascii="Helvetica" w:eastAsia="Calibri" w:hAnsi="Helvetica" w:cs="Helvetica"/>
          <w:i/>
          <w:iCs/>
          <w:sz w:val="18"/>
          <w:szCs w:val="18"/>
          <w:lang w:eastAsia="en-US"/>
        </w:rPr>
        <w:t>); IMF (</w:t>
      </w:r>
      <w:r w:rsidRPr="0096356E">
        <w:rPr>
          <w:rFonts w:ascii="Helvetica" w:eastAsia="Calibri" w:hAnsi="Helvetica" w:cs="Helvetica"/>
          <w:i/>
          <w:iCs/>
          <w:sz w:val="18"/>
          <w:szCs w:val="18"/>
          <w:lang w:eastAsia="en-US"/>
        </w:rPr>
        <w:t>2021</w:t>
      </w:r>
      <w:r>
        <w:rPr>
          <w:rFonts w:ascii="Helvetica" w:eastAsia="Calibri" w:hAnsi="Helvetica" w:cs="Helvetica"/>
          <w:i/>
          <w:iCs/>
          <w:sz w:val="18"/>
          <w:szCs w:val="18"/>
          <w:lang w:eastAsia="en-US"/>
        </w:rPr>
        <w:t>)</w:t>
      </w:r>
    </w:p>
  </w:footnote>
  <w:footnote w:id="3">
    <w:p w14:paraId="40BF66A4" w14:textId="07F485EA" w:rsidR="0036774F" w:rsidRPr="0096356E" w:rsidRDefault="0036774F" w:rsidP="00612AEE">
      <w:pPr>
        <w:spacing w:after="0"/>
        <w:jc w:val="both"/>
        <w:rPr>
          <w:rFonts w:ascii="Helvetica" w:eastAsia="Calibri" w:hAnsi="Helvetica" w:cs="Helvetica"/>
          <w:i/>
          <w:iCs/>
          <w:sz w:val="18"/>
          <w:szCs w:val="18"/>
          <w:lang w:eastAsia="en-US"/>
        </w:rPr>
      </w:pPr>
      <w:r w:rsidRPr="0096356E">
        <w:rPr>
          <w:rStyle w:val="FootnoteReference"/>
          <w:rFonts w:ascii="Helvetica" w:hAnsi="Helvetica" w:cs="Helvetica"/>
          <w:sz w:val="18"/>
          <w:szCs w:val="18"/>
        </w:rPr>
        <w:footnoteRef/>
      </w:r>
      <w:r w:rsidRPr="0096356E">
        <w:rPr>
          <w:rFonts w:ascii="Helvetica" w:hAnsi="Helvetica" w:cs="Helvetica"/>
          <w:sz w:val="18"/>
          <w:szCs w:val="18"/>
        </w:rPr>
        <w:t xml:space="preserve"> </w:t>
      </w:r>
      <w:r>
        <w:rPr>
          <w:rFonts w:ascii="Helvetica" w:eastAsia="Calibri" w:hAnsi="Helvetica" w:cs="Helvetica"/>
          <w:i/>
          <w:iCs/>
          <w:sz w:val="18"/>
          <w:szCs w:val="18"/>
          <w:lang w:eastAsia="en-US"/>
        </w:rPr>
        <w:t>Sources: IMF (</w:t>
      </w:r>
      <w:r w:rsidRPr="0096356E">
        <w:rPr>
          <w:rFonts w:ascii="Helvetica" w:eastAsia="Calibri" w:hAnsi="Helvetica" w:cs="Helvetica"/>
          <w:i/>
          <w:iCs/>
          <w:sz w:val="18"/>
          <w:szCs w:val="18"/>
          <w:lang w:eastAsia="en-US"/>
        </w:rPr>
        <w:t>2021</w:t>
      </w:r>
      <w:r>
        <w:rPr>
          <w:rFonts w:ascii="Helvetica" w:eastAsia="Calibri" w:hAnsi="Helvetica" w:cs="Helvetica"/>
          <w:i/>
          <w:iCs/>
          <w:sz w:val="18"/>
          <w:szCs w:val="18"/>
          <w:lang w:eastAsia="en-US"/>
        </w:rPr>
        <w:t>)</w:t>
      </w:r>
    </w:p>
    <w:p w14:paraId="09D1725B" w14:textId="77777777" w:rsidR="0036774F" w:rsidRPr="00636E58" w:rsidRDefault="0036774F" w:rsidP="00612AEE">
      <w:pPr>
        <w:pStyle w:val="FootnoteText"/>
        <w:rPr>
          <w:lang w:val="en-US"/>
        </w:rPr>
      </w:pPr>
    </w:p>
  </w:footnote>
  <w:footnote w:id="4">
    <w:p w14:paraId="431CB931" w14:textId="77777777" w:rsidR="0036774F" w:rsidRPr="008A4E52" w:rsidRDefault="0036774F" w:rsidP="00612AEE">
      <w:pPr>
        <w:rPr>
          <w:rFonts w:ascii="Arial Narrow" w:hAnsi="Arial Narrow" w:cs="Helvetica"/>
          <w:i/>
          <w:sz w:val="18"/>
          <w:szCs w:val="18"/>
        </w:rPr>
      </w:pPr>
      <w:r w:rsidRPr="008A4E52">
        <w:rPr>
          <w:rStyle w:val="FootnoteReference"/>
          <w:rFonts w:ascii="Arial Narrow" w:hAnsi="Arial Narrow"/>
          <w:sz w:val="18"/>
          <w:szCs w:val="18"/>
        </w:rPr>
        <w:footnoteRef/>
      </w:r>
      <w:r w:rsidRPr="008A4E52">
        <w:rPr>
          <w:rFonts w:ascii="Arial Narrow" w:hAnsi="Arial Narrow"/>
          <w:sz w:val="18"/>
          <w:szCs w:val="18"/>
        </w:rPr>
        <w:t xml:space="preserve"> </w:t>
      </w:r>
      <w:r w:rsidRPr="008A4E52">
        <w:rPr>
          <w:rFonts w:ascii="Arial Narrow" w:hAnsi="Arial Narrow" w:cs="Helvetica"/>
          <w:i/>
          <w:sz w:val="18"/>
          <w:szCs w:val="18"/>
        </w:rPr>
        <w:t xml:space="preserve">Source: </w:t>
      </w:r>
      <w:r>
        <w:rPr>
          <w:rFonts w:ascii="Arial Narrow" w:hAnsi="Arial Narrow" w:cs="Helvetica"/>
          <w:i/>
          <w:sz w:val="18"/>
          <w:szCs w:val="18"/>
        </w:rPr>
        <w:t>Euromonitor International</w:t>
      </w:r>
      <w:r w:rsidRPr="008A4E52">
        <w:rPr>
          <w:rFonts w:ascii="Arial Narrow" w:hAnsi="Arial Narrow" w:cs="Helvetica"/>
          <w:i/>
          <w:sz w:val="18"/>
          <w:szCs w:val="18"/>
        </w:rPr>
        <w:t>, 2021</w:t>
      </w:r>
    </w:p>
    <w:p w14:paraId="3FF9661E" w14:textId="77777777" w:rsidR="0036774F" w:rsidRPr="008A4E52" w:rsidRDefault="0036774F" w:rsidP="00612AEE">
      <w:pPr>
        <w:pStyle w:val="FootnoteText"/>
        <w:rPr>
          <w:lang w:val="en-US"/>
        </w:rPr>
      </w:pPr>
    </w:p>
  </w:footnote>
  <w:footnote w:id="5">
    <w:p w14:paraId="5DCF5427" w14:textId="77777777" w:rsidR="0036774F" w:rsidRPr="0038098E" w:rsidRDefault="0036774F" w:rsidP="00612AEE">
      <w:pPr>
        <w:pStyle w:val="FootnoteText"/>
        <w:rPr>
          <w:rFonts w:ascii="Arial Narrow" w:hAnsi="Arial Narrow"/>
          <w:sz w:val="18"/>
          <w:szCs w:val="18"/>
          <w:lang w:val="en-US"/>
        </w:rPr>
      </w:pPr>
      <w:r w:rsidRPr="0038098E">
        <w:rPr>
          <w:rStyle w:val="FootnoteReference"/>
          <w:rFonts w:ascii="Arial Narrow" w:hAnsi="Arial Narrow"/>
          <w:sz w:val="18"/>
          <w:szCs w:val="18"/>
        </w:rPr>
        <w:footnoteRef/>
      </w:r>
      <w:r w:rsidRPr="0038098E">
        <w:rPr>
          <w:rFonts w:ascii="Arial Narrow" w:hAnsi="Arial Narrow"/>
          <w:sz w:val="18"/>
          <w:szCs w:val="18"/>
        </w:rPr>
        <w:t xml:space="preserve"> </w:t>
      </w:r>
      <w:r w:rsidRPr="0038098E">
        <w:rPr>
          <w:rFonts w:ascii="Arial Narrow" w:hAnsi="Arial Narrow"/>
          <w:sz w:val="18"/>
          <w:szCs w:val="18"/>
          <w:lang w:val="en-US"/>
        </w:rPr>
        <w:t xml:space="preserve">Top export markets for Ghanaian goods traded from Trade Map was unavailable for the 2020 year at the time of writing. This paper will be updated as soon as this information becomes available. </w:t>
      </w:r>
    </w:p>
  </w:footnote>
  <w:footnote w:id="6">
    <w:p w14:paraId="75DC5267" w14:textId="19077FEF" w:rsidR="0036774F" w:rsidRPr="00753358" w:rsidRDefault="0036774F" w:rsidP="00612AEE">
      <w:pPr>
        <w:pStyle w:val="FootnoteText"/>
        <w:rPr>
          <w:lang w:val="en-US"/>
        </w:rPr>
      </w:pPr>
      <w:r>
        <w:rPr>
          <w:rStyle w:val="FootnoteReference"/>
        </w:rPr>
        <w:footnoteRef/>
      </w:r>
      <w:r>
        <w:t xml:space="preserve"> </w:t>
      </w:r>
      <w:r w:rsidRPr="009900CB">
        <w:rPr>
          <w:rFonts w:ascii="Helvetica" w:hAnsi="Helvetica" w:cs="Helvetica"/>
          <w:i/>
          <w:sz w:val="18"/>
          <w:szCs w:val="18"/>
        </w:rPr>
        <w:t>Source: Inte</w:t>
      </w:r>
      <w:r>
        <w:rPr>
          <w:rFonts w:ascii="Helvetica" w:hAnsi="Helvetica" w:cs="Helvetica"/>
          <w:i/>
          <w:sz w:val="18"/>
          <w:szCs w:val="18"/>
        </w:rPr>
        <w:t>rnational Trade Administration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2DE8C" w14:textId="77777777" w:rsidR="0036774F" w:rsidRDefault="00AE640F">
    <w:pPr>
      <w:pStyle w:val="Header"/>
    </w:pPr>
    <w:r>
      <w:rPr>
        <w:noProof/>
      </w:rPr>
      <w:pict w14:anchorId="6E483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4735" o:spid="_x0000_s2059" type="#_x0000_t75" style="position:absolute;margin-left:0;margin-top:0;width:595.2pt;height:841.9pt;z-index:-251657216;mso-position-horizontal:center;mso-position-horizontal-relative:margin;mso-position-vertical:center;mso-position-vertical-relative:margin" o:allowincell="f">
          <v:imagedata r:id="rId1" o:title="Research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1D991" w14:textId="77777777" w:rsidR="0036774F" w:rsidRDefault="0036774F">
    <w:pPr>
      <w:pStyle w:val="Header"/>
    </w:pPr>
    <w:r>
      <w:rPr>
        <w:noProof/>
      </w:rPr>
      <mc:AlternateContent>
        <mc:Choice Requires="wps">
          <w:drawing>
            <wp:anchor distT="0" distB="0" distL="114300" distR="114300" simplePos="0" relativeHeight="251662336" behindDoc="0" locked="0" layoutInCell="0" allowOverlap="1" wp14:anchorId="641584C0" wp14:editId="2892A1AD">
              <wp:simplePos x="0" y="0"/>
              <wp:positionH relativeFrom="rightMargin">
                <wp:posOffset>471170</wp:posOffset>
              </wp:positionH>
              <wp:positionV relativeFrom="margin">
                <wp:posOffset>4261485</wp:posOffset>
              </wp:positionV>
              <wp:extent cx="443230" cy="32956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7FBAB" w14:textId="283FF79C" w:rsidR="0036774F" w:rsidRDefault="0036774F">
                          <w:pPr>
                            <w:pBdr>
                              <w:bottom w:val="single" w:sz="4" w:space="1" w:color="auto"/>
                            </w:pBdr>
                          </w:pPr>
                          <w:r>
                            <w:fldChar w:fldCharType="begin"/>
                          </w:r>
                          <w:r>
                            <w:instrText xml:space="preserve"> PAGE   \* MERGEFORMAT </w:instrText>
                          </w:r>
                          <w:r>
                            <w:fldChar w:fldCharType="separate"/>
                          </w:r>
                          <w:r w:rsidR="00F43916">
                            <w:rPr>
                              <w:noProof/>
                            </w:rPr>
                            <w:t>3</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641584C0" id="Rectangle 29" o:spid="_x0000_s1029" style="position:absolute;margin-left:37.1pt;margin-top:335.55pt;width:34.9pt;height:25.9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" o:allowincell="f" stroked="f">
              <v:textbox>
                <w:txbxContent>
                  <w:p w14:paraId="49D7FBAB" w14:textId="283FF79C" w:rsidR="0036774F" w:rsidRDefault="0036774F">
                    <w:pPr>
                      <w:pBdr>
                        <w:bottom w:val="single" w:sz="4" w:space="1" w:color="auto"/>
                      </w:pBdr>
                    </w:pPr>
                    <w:r>
                      <w:fldChar w:fldCharType="begin"/>
                    </w:r>
                    <w:r>
                      <w:instrText xml:space="preserve"> PAGE   \* MERGEFORMAT </w:instrText>
                    </w:r>
                    <w:r>
                      <w:fldChar w:fldCharType="separate"/>
                    </w:r>
                    <w:r w:rsidR="00F43916">
                      <w:rPr>
                        <w:noProof/>
                      </w:rPr>
                      <w:t>3</w:t>
                    </w:r>
                    <w:r>
                      <w:rPr>
                        <w:noProof/>
                      </w:rPr>
                      <w:fldChar w:fldCharType="end"/>
                    </w:r>
                  </w:p>
                </w:txbxContent>
              </v:textbox>
              <w10:wrap anchorx="margin" anchory="margin"/>
            </v:rect>
          </w:pict>
        </mc:Fallback>
      </mc:AlternateContent>
    </w:r>
    <w:r w:rsidR="00AE640F">
      <w:rPr>
        <w:noProof/>
      </w:rPr>
      <w:pict w14:anchorId="1C514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4736" o:spid="_x0000_s2060" type="#_x0000_t75" style="position:absolute;margin-left:0;margin-top:0;width:595.2pt;height:841.9pt;z-index:-251656192;mso-position-horizontal:center;mso-position-horizontal-relative:margin;mso-position-vertical:center;mso-position-vertical-relative:margin" o:allowincell="f">
          <v:imagedata r:id="rId1" o:title="Research Watermark"/>
          <w10:wrap anchorx="margin" anchory="margin"/>
        </v:shape>
      </w:pic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29A"/>
    <w:multiLevelType w:val="multilevel"/>
    <w:tmpl w:val="E9227E1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64210A"/>
    <w:multiLevelType w:val="multilevel"/>
    <w:tmpl w:val="D7F8EB96"/>
    <w:lvl w:ilvl="0">
      <w:start w:val="1"/>
      <w:numFmt w:val="decimal"/>
      <w:pStyle w:val="Heading1"/>
      <w:lvlText w:val="%1."/>
      <w:lvlJc w:val="left"/>
      <w:pPr>
        <w:ind w:left="2130" w:hanging="570"/>
      </w:pPr>
      <w:rPr>
        <w:rFonts w:hint="default"/>
        <w:sz w:val="22"/>
        <w:szCs w:val="22"/>
      </w:rPr>
    </w:lvl>
    <w:lvl w:ilvl="1">
      <w:start w:val="1"/>
      <w:numFmt w:val="decimal"/>
      <w:isLgl/>
      <w:lvlText w:val="%1.%2"/>
      <w:lvlJc w:val="left"/>
      <w:pPr>
        <w:ind w:left="360" w:hanging="360"/>
      </w:pPr>
      <w:rPr>
        <w:rFonts w:hint="default"/>
        <w:sz w:val="22"/>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E610BF"/>
    <w:multiLevelType w:val="hybridMultilevel"/>
    <w:tmpl w:val="51FA61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5A70387"/>
    <w:multiLevelType w:val="multilevel"/>
    <w:tmpl w:val="D3C485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F17EEC"/>
    <w:multiLevelType w:val="hybridMultilevel"/>
    <w:tmpl w:val="DD4A20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F45461C"/>
    <w:multiLevelType w:val="hybridMultilevel"/>
    <w:tmpl w:val="D35E45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FF65FF9"/>
    <w:multiLevelType w:val="hybridMultilevel"/>
    <w:tmpl w:val="217A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D2AC7"/>
    <w:multiLevelType w:val="hybridMultilevel"/>
    <w:tmpl w:val="5C1C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976FA"/>
    <w:multiLevelType w:val="multilevel"/>
    <w:tmpl w:val="9B78C6E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53B0E8E"/>
    <w:multiLevelType w:val="multilevel"/>
    <w:tmpl w:val="7F2403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A539EC"/>
    <w:multiLevelType w:val="hybridMultilevel"/>
    <w:tmpl w:val="84E4A8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13C1392"/>
    <w:multiLevelType w:val="multilevel"/>
    <w:tmpl w:val="FB685B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23D0CBD"/>
    <w:multiLevelType w:val="hybridMultilevel"/>
    <w:tmpl w:val="AA5CFD2A"/>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38CA4CF8"/>
    <w:multiLevelType w:val="hybridMultilevel"/>
    <w:tmpl w:val="1632F8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A5A5504"/>
    <w:multiLevelType w:val="hybridMultilevel"/>
    <w:tmpl w:val="B46C01F8"/>
    <w:lvl w:ilvl="0" w:tplc="32426052">
      <w:start w:val="3"/>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 w15:restartNumberingAfterBreak="0">
    <w:nsid w:val="46A851D6"/>
    <w:multiLevelType w:val="hybridMultilevel"/>
    <w:tmpl w:val="6E4E43A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504D5C5A"/>
    <w:multiLevelType w:val="hybridMultilevel"/>
    <w:tmpl w:val="33D498A2"/>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51CA7822"/>
    <w:multiLevelType w:val="multilevel"/>
    <w:tmpl w:val="0490657C"/>
    <w:lvl w:ilvl="0">
      <w:start w:val="4"/>
      <w:numFmt w:val="decimal"/>
      <w:lvlText w:val="%1"/>
      <w:lvlJc w:val="left"/>
      <w:pPr>
        <w:ind w:left="360" w:hanging="360"/>
      </w:pPr>
      <w:rPr>
        <w:rFonts w:hint="default"/>
      </w:rPr>
    </w:lvl>
    <w:lvl w:ilvl="1">
      <w:start w:val="1"/>
      <w:numFmt w:val="decimal"/>
      <w:pStyle w:val="Heading2"/>
      <w:lvlText w:val="%1.%2"/>
      <w:lvlJc w:val="left"/>
      <w:pPr>
        <w:ind w:left="360" w:hanging="360"/>
      </w:pPr>
      <w:rPr>
        <w:rFonts w:ascii="Arial Narrow" w:hAnsi="Arial Narrow" w:hint="default"/>
        <w:sz w:val="20"/>
        <w:szCs w:val="20"/>
      </w:rPr>
    </w:lvl>
    <w:lvl w:ilvl="2">
      <w:start w:val="1"/>
      <w:numFmt w:val="decimal"/>
      <w:pStyle w:val="Heading3"/>
      <w:lvlText w:val="%1.%2.%3"/>
      <w:lvlJc w:val="left"/>
      <w:pPr>
        <w:ind w:left="720" w:hanging="720"/>
      </w:pPr>
      <w:rPr>
        <w:rFonts w:hint="default"/>
        <w:b/>
        <w:i w:val="0"/>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7094ACE"/>
    <w:multiLevelType w:val="hybridMultilevel"/>
    <w:tmpl w:val="FCEC7D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7EA7EBA"/>
    <w:multiLevelType w:val="multilevel"/>
    <w:tmpl w:val="FB44FC1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90B3A7F"/>
    <w:multiLevelType w:val="hybridMultilevel"/>
    <w:tmpl w:val="BF84C044"/>
    <w:lvl w:ilvl="0" w:tplc="85F45C36">
      <w:start w:val="1"/>
      <w:numFmt w:val="bullet"/>
      <w:lvlText w:val=""/>
      <w:lvlJc w:val="left"/>
      <w:pPr>
        <w:ind w:left="720" w:hanging="360"/>
      </w:pPr>
      <w:rPr>
        <w:rFonts w:ascii="Symbol" w:hAnsi="Symbol" w:hint="default"/>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66C14213"/>
    <w:multiLevelType w:val="hybridMultilevel"/>
    <w:tmpl w:val="4E48AE3A"/>
    <w:lvl w:ilvl="0" w:tplc="85F45C36">
      <w:start w:val="1"/>
      <w:numFmt w:val="bullet"/>
      <w:lvlText w:val=""/>
      <w:lvlJc w:val="left"/>
      <w:pPr>
        <w:ind w:left="720" w:hanging="360"/>
      </w:pPr>
      <w:rPr>
        <w:rFonts w:ascii="Symbol" w:hAnsi="Symbol" w:hint="default"/>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6C2F1F58"/>
    <w:multiLevelType w:val="hybridMultilevel"/>
    <w:tmpl w:val="584482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C357FDF"/>
    <w:multiLevelType w:val="hybridMultilevel"/>
    <w:tmpl w:val="BBA8B8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6DAE718B"/>
    <w:multiLevelType w:val="hybridMultilevel"/>
    <w:tmpl w:val="2FF4EE9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6F6C61DE"/>
    <w:multiLevelType w:val="hybridMultilevel"/>
    <w:tmpl w:val="B75CCF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70AC3AED"/>
    <w:multiLevelType w:val="hybridMultilevel"/>
    <w:tmpl w:val="BA54B3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B5D6838"/>
    <w:multiLevelType w:val="multilevel"/>
    <w:tmpl w:val="194834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C9F3106"/>
    <w:multiLevelType w:val="hybridMultilevel"/>
    <w:tmpl w:val="EB2A3E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17"/>
  </w:num>
  <w:num w:numId="5">
    <w:abstractNumId w:val="2"/>
  </w:num>
  <w:num w:numId="6">
    <w:abstractNumId w:val="12"/>
  </w:num>
  <w:num w:numId="7">
    <w:abstractNumId w:val="9"/>
  </w:num>
  <w:num w:numId="8">
    <w:abstractNumId w:val="11"/>
  </w:num>
  <w:num w:numId="9">
    <w:abstractNumId w:val="0"/>
  </w:num>
  <w:num w:numId="10">
    <w:abstractNumId w:val="27"/>
  </w:num>
  <w:num w:numId="11">
    <w:abstractNumId w:val="8"/>
  </w:num>
  <w:num w:numId="12">
    <w:abstractNumId w:val="19"/>
  </w:num>
  <w:num w:numId="13">
    <w:abstractNumId w:val="28"/>
  </w:num>
  <w:num w:numId="14">
    <w:abstractNumId w:val="20"/>
  </w:num>
  <w:num w:numId="15">
    <w:abstractNumId w:val="14"/>
  </w:num>
  <w:num w:numId="16">
    <w:abstractNumId w:val="21"/>
  </w:num>
  <w:num w:numId="17">
    <w:abstractNumId w:val="5"/>
  </w:num>
  <w:num w:numId="18">
    <w:abstractNumId w:val="18"/>
  </w:num>
  <w:num w:numId="19">
    <w:abstractNumId w:val="22"/>
  </w:num>
  <w:num w:numId="20">
    <w:abstractNumId w:val="13"/>
  </w:num>
  <w:num w:numId="21">
    <w:abstractNumId w:val="25"/>
  </w:num>
  <w:num w:numId="22">
    <w:abstractNumId w:val="26"/>
  </w:num>
  <w:num w:numId="23">
    <w:abstractNumId w:val="23"/>
  </w:num>
  <w:num w:numId="24">
    <w:abstractNumId w:val="16"/>
  </w:num>
  <w:num w:numId="25">
    <w:abstractNumId w:val="15"/>
  </w:num>
  <w:num w:numId="26">
    <w:abstractNumId w:val="3"/>
  </w:num>
  <w:num w:numId="27">
    <w:abstractNumId w:val="1"/>
  </w:num>
  <w:num w:numId="28">
    <w:abstractNumId w:val="1"/>
    <w:lvlOverride w:ilvl="0">
      <w:startOverride w:val="4"/>
    </w:lvlOverride>
    <w:lvlOverride w:ilvl="1">
      <w:startOverride w:val="2"/>
    </w:lvlOverride>
  </w:num>
  <w:num w:numId="29">
    <w:abstractNumId w:val="1"/>
    <w:lvlOverride w:ilvl="0">
      <w:startOverride w:val="5"/>
    </w:lvlOverride>
    <w:lvlOverride w:ilvl="1">
      <w:startOverride w:val="1"/>
    </w:lvlOverride>
    <w:lvlOverride w:ilvl="2">
      <w:startOverride w:val="1"/>
    </w:lvlOverride>
  </w:num>
  <w:num w:numId="30">
    <w:abstractNumId w:val="1"/>
    <w:lvlOverride w:ilvl="0">
      <w:startOverride w:val="5"/>
    </w:lvlOverride>
    <w:lvlOverride w:ilvl="1">
      <w:startOverride w:val="2"/>
    </w:lvlOverride>
    <w:lvlOverride w:ilvl="2">
      <w:startOverride w:val="1"/>
    </w:lvlOverride>
  </w:num>
  <w:num w:numId="31">
    <w:abstractNumId w:val="24"/>
  </w:num>
  <w:num w:numId="32">
    <w:abstractNumId w:val="1"/>
    <w:lvlOverride w:ilvl="0">
      <w:startOverride w:val="6"/>
    </w:lvlOverride>
    <w:lvlOverride w:ilvl="1">
      <w:startOverride w:val="1"/>
    </w:lvlOverride>
  </w:num>
  <w:num w:numId="33">
    <w:abstractNumId w:val="10"/>
  </w:num>
  <w:num w:numId="3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D1A"/>
    <w:rsid w:val="00000518"/>
    <w:rsid w:val="0000098C"/>
    <w:rsid w:val="0000215A"/>
    <w:rsid w:val="00003493"/>
    <w:rsid w:val="00003859"/>
    <w:rsid w:val="00003E97"/>
    <w:rsid w:val="0000458E"/>
    <w:rsid w:val="00004845"/>
    <w:rsid w:val="0000618A"/>
    <w:rsid w:val="0000692B"/>
    <w:rsid w:val="00006CA8"/>
    <w:rsid w:val="00006EDD"/>
    <w:rsid w:val="000072CD"/>
    <w:rsid w:val="000073F2"/>
    <w:rsid w:val="000078BB"/>
    <w:rsid w:val="0001033C"/>
    <w:rsid w:val="000115CF"/>
    <w:rsid w:val="00011C1A"/>
    <w:rsid w:val="000135F7"/>
    <w:rsid w:val="00013BCF"/>
    <w:rsid w:val="000141D9"/>
    <w:rsid w:val="0001429D"/>
    <w:rsid w:val="0001470A"/>
    <w:rsid w:val="0001481D"/>
    <w:rsid w:val="00016124"/>
    <w:rsid w:val="00016235"/>
    <w:rsid w:val="000208AB"/>
    <w:rsid w:val="00021423"/>
    <w:rsid w:val="0002311F"/>
    <w:rsid w:val="000231E6"/>
    <w:rsid w:val="0002644E"/>
    <w:rsid w:val="000276BE"/>
    <w:rsid w:val="000308F0"/>
    <w:rsid w:val="000315CE"/>
    <w:rsid w:val="0003161D"/>
    <w:rsid w:val="000329C1"/>
    <w:rsid w:val="0003302E"/>
    <w:rsid w:val="00034107"/>
    <w:rsid w:val="000344C7"/>
    <w:rsid w:val="00035636"/>
    <w:rsid w:val="000366DF"/>
    <w:rsid w:val="00042483"/>
    <w:rsid w:val="00042B41"/>
    <w:rsid w:val="00042C54"/>
    <w:rsid w:val="00042FDA"/>
    <w:rsid w:val="000432B0"/>
    <w:rsid w:val="00043F1B"/>
    <w:rsid w:val="00044B75"/>
    <w:rsid w:val="00045236"/>
    <w:rsid w:val="00045E1B"/>
    <w:rsid w:val="00046FC1"/>
    <w:rsid w:val="000477E3"/>
    <w:rsid w:val="00047EC7"/>
    <w:rsid w:val="00050041"/>
    <w:rsid w:val="0005253B"/>
    <w:rsid w:val="0005378E"/>
    <w:rsid w:val="00057414"/>
    <w:rsid w:val="000577D6"/>
    <w:rsid w:val="00057D76"/>
    <w:rsid w:val="000601A7"/>
    <w:rsid w:val="000615DC"/>
    <w:rsid w:val="00061BD6"/>
    <w:rsid w:val="00061BE0"/>
    <w:rsid w:val="00062262"/>
    <w:rsid w:val="0006296A"/>
    <w:rsid w:val="00063188"/>
    <w:rsid w:val="00063813"/>
    <w:rsid w:val="00064255"/>
    <w:rsid w:val="0006599F"/>
    <w:rsid w:val="00067DC2"/>
    <w:rsid w:val="000700BA"/>
    <w:rsid w:val="000710B2"/>
    <w:rsid w:val="000717FE"/>
    <w:rsid w:val="00071F0C"/>
    <w:rsid w:val="0007309C"/>
    <w:rsid w:val="00073C6B"/>
    <w:rsid w:val="000747FB"/>
    <w:rsid w:val="00074C5F"/>
    <w:rsid w:val="00074D7B"/>
    <w:rsid w:val="0007560C"/>
    <w:rsid w:val="00076152"/>
    <w:rsid w:val="000765E2"/>
    <w:rsid w:val="0008066A"/>
    <w:rsid w:val="00080BAF"/>
    <w:rsid w:val="00081A71"/>
    <w:rsid w:val="00081FCE"/>
    <w:rsid w:val="0008369C"/>
    <w:rsid w:val="00084500"/>
    <w:rsid w:val="000846B2"/>
    <w:rsid w:val="000848BC"/>
    <w:rsid w:val="00084D7B"/>
    <w:rsid w:val="00090ABA"/>
    <w:rsid w:val="000912C8"/>
    <w:rsid w:val="00091B84"/>
    <w:rsid w:val="00092536"/>
    <w:rsid w:val="00092DAD"/>
    <w:rsid w:val="0009506F"/>
    <w:rsid w:val="00095314"/>
    <w:rsid w:val="0009552A"/>
    <w:rsid w:val="00095762"/>
    <w:rsid w:val="000965A9"/>
    <w:rsid w:val="00096BF9"/>
    <w:rsid w:val="000A0A54"/>
    <w:rsid w:val="000A0EBF"/>
    <w:rsid w:val="000A10CB"/>
    <w:rsid w:val="000A10FF"/>
    <w:rsid w:val="000A5D21"/>
    <w:rsid w:val="000A5E0F"/>
    <w:rsid w:val="000A6439"/>
    <w:rsid w:val="000A667C"/>
    <w:rsid w:val="000A73EC"/>
    <w:rsid w:val="000A7642"/>
    <w:rsid w:val="000B0418"/>
    <w:rsid w:val="000B1188"/>
    <w:rsid w:val="000B174B"/>
    <w:rsid w:val="000B1FF0"/>
    <w:rsid w:val="000B2154"/>
    <w:rsid w:val="000B27A1"/>
    <w:rsid w:val="000B28CB"/>
    <w:rsid w:val="000B2C41"/>
    <w:rsid w:val="000B33CA"/>
    <w:rsid w:val="000B34D3"/>
    <w:rsid w:val="000B50E8"/>
    <w:rsid w:val="000B6A94"/>
    <w:rsid w:val="000C0047"/>
    <w:rsid w:val="000C2C9C"/>
    <w:rsid w:val="000C300F"/>
    <w:rsid w:val="000C3920"/>
    <w:rsid w:val="000C5D50"/>
    <w:rsid w:val="000C7B08"/>
    <w:rsid w:val="000D0598"/>
    <w:rsid w:val="000D0F8F"/>
    <w:rsid w:val="000D1775"/>
    <w:rsid w:val="000D1AC8"/>
    <w:rsid w:val="000D1DBF"/>
    <w:rsid w:val="000D1F53"/>
    <w:rsid w:val="000D33E3"/>
    <w:rsid w:val="000D3E14"/>
    <w:rsid w:val="000D60F0"/>
    <w:rsid w:val="000D6F14"/>
    <w:rsid w:val="000E03F2"/>
    <w:rsid w:val="000E12E8"/>
    <w:rsid w:val="000E16CA"/>
    <w:rsid w:val="000E184B"/>
    <w:rsid w:val="000E1A96"/>
    <w:rsid w:val="000E4E71"/>
    <w:rsid w:val="000E5616"/>
    <w:rsid w:val="000E7A7E"/>
    <w:rsid w:val="000F3E14"/>
    <w:rsid w:val="000F4653"/>
    <w:rsid w:val="000F47D6"/>
    <w:rsid w:val="000F50FB"/>
    <w:rsid w:val="000F56C5"/>
    <w:rsid w:val="000F5C1F"/>
    <w:rsid w:val="000F6674"/>
    <w:rsid w:val="000F7164"/>
    <w:rsid w:val="000F77D8"/>
    <w:rsid w:val="000F7A2C"/>
    <w:rsid w:val="000F7AB1"/>
    <w:rsid w:val="001008ED"/>
    <w:rsid w:val="00101A1F"/>
    <w:rsid w:val="00101D6B"/>
    <w:rsid w:val="00102060"/>
    <w:rsid w:val="00102CEA"/>
    <w:rsid w:val="00102D20"/>
    <w:rsid w:val="00104F04"/>
    <w:rsid w:val="00106F5E"/>
    <w:rsid w:val="00107772"/>
    <w:rsid w:val="001077E0"/>
    <w:rsid w:val="00107863"/>
    <w:rsid w:val="00110C6A"/>
    <w:rsid w:val="00111C7D"/>
    <w:rsid w:val="0011290B"/>
    <w:rsid w:val="001130E8"/>
    <w:rsid w:val="0011369E"/>
    <w:rsid w:val="00115F24"/>
    <w:rsid w:val="00117505"/>
    <w:rsid w:val="0011751C"/>
    <w:rsid w:val="00121590"/>
    <w:rsid w:val="001222A9"/>
    <w:rsid w:val="00122912"/>
    <w:rsid w:val="00123088"/>
    <w:rsid w:val="001236AF"/>
    <w:rsid w:val="00123B16"/>
    <w:rsid w:val="00123D87"/>
    <w:rsid w:val="001244BF"/>
    <w:rsid w:val="00124B16"/>
    <w:rsid w:val="00125130"/>
    <w:rsid w:val="00126620"/>
    <w:rsid w:val="00126965"/>
    <w:rsid w:val="001304FC"/>
    <w:rsid w:val="00130CBC"/>
    <w:rsid w:val="00131227"/>
    <w:rsid w:val="0013162F"/>
    <w:rsid w:val="0013185A"/>
    <w:rsid w:val="0013188C"/>
    <w:rsid w:val="001318B3"/>
    <w:rsid w:val="00131A5D"/>
    <w:rsid w:val="00132402"/>
    <w:rsid w:val="00132436"/>
    <w:rsid w:val="00132B62"/>
    <w:rsid w:val="00133EE0"/>
    <w:rsid w:val="00134325"/>
    <w:rsid w:val="00134862"/>
    <w:rsid w:val="00134FA7"/>
    <w:rsid w:val="001350AD"/>
    <w:rsid w:val="0013798D"/>
    <w:rsid w:val="001406A3"/>
    <w:rsid w:val="00141938"/>
    <w:rsid w:val="0014325B"/>
    <w:rsid w:val="00143693"/>
    <w:rsid w:val="0014376A"/>
    <w:rsid w:val="001441F2"/>
    <w:rsid w:val="00144F9B"/>
    <w:rsid w:val="00145520"/>
    <w:rsid w:val="00146168"/>
    <w:rsid w:val="001463E4"/>
    <w:rsid w:val="00146833"/>
    <w:rsid w:val="0014759E"/>
    <w:rsid w:val="001475D3"/>
    <w:rsid w:val="001478E3"/>
    <w:rsid w:val="0015098C"/>
    <w:rsid w:val="00152736"/>
    <w:rsid w:val="0015355D"/>
    <w:rsid w:val="001537F2"/>
    <w:rsid w:val="0015737C"/>
    <w:rsid w:val="0015761E"/>
    <w:rsid w:val="00160FD4"/>
    <w:rsid w:val="00161018"/>
    <w:rsid w:val="00161B35"/>
    <w:rsid w:val="00162971"/>
    <w:rsid w:val="001629A7"/>
    <w:rsid w:val="00162A69"/>
    <w:rsid w:val="00162B67"/>
    <w:rsid w:val="00163F62"/>
    <w:rsid w:val="00167CA0"/>
    <w:rsid w:val="00170E05"/>
    <w:rsid w:val="00171E8E"/>
    <w:rsid w:val="00172CF6"/>
    <w:rsid w:val="00173584"/>
    <w:rsid w:val="001739D1"/>
    <w:rsid w:val="001747CC"/>
    <w:rsid w:val="00175DBA"/>
    <w:rsid w:val="00175F51"/>
    <w:rsid w:val="00175F74"/>
    <w:rsid w:val="00176E2D"/>
    <w:rsid w:val="0017717A"/>
    <w:rsid w:val="001816A8"/>
    <w:rsid w:val="00181BDA"/>
    <w:rsid w:val="001834C0"/>
    <w:rsid w:val="00183C8D"/>
    <w:rsid w:val="001844D4"/>
    <w:rsid w:val="001848D8"/>
    <w:rsid w:val="00185E89"/>
    <w:rsid w:val="00186838"/>
    <w:rsid w:val="00186BE6"/>
    <w:rsid w:val="0019005D"/>
    <w:rsid w:val="001903B6"/>
    <w:rsid w:val="0019046C"/>
    <w:rsid w:val="001921CE"/>
    <w:rsid w:val="00192836"/>
    <w:rsid w:val="0019316C"/>
    <w:rsid w:val="001938DF"/>
    <w:rsid w:val="00193CA3"/>
    <w:rsid w:val="00195443"/>
    <w:rsid w:val="001958A5"/>
    <w:rsid w:val="001A1C02"/>
    <w:rsid w:val="001A395A"/>
    <w:rsid w:val="001A4D39"/>
    <w:rsid w:val="001A4E20"/>
    <w:rsid w:val="001A5104"/>
    <w:rsid w:val="001A62BC"/>
    <w:rsid w:val="001A7D2E"/>
    <w:rsid w:val="001A7F6E"/>
    <w:rsid w:val="001B0BB0"/>
    <w:rsid w:val="001B0DE2"/>
    <w:rsid w:val="001B4275"/>
    <w:rsid w:val="001B59F3"/>
    <w:rsid w:val="001B5C9D"/>
    <w:rsid w:val="001B6899"/>
    <w:rsid w:val="001B6FC7"/>
    <w:rsid w:val="001B7022"/>
    <w:rsid w:val="001B7673"/>
    <w:rsid w:val="001B7B6C"/>
    <w:rsid w:val="001B7D38"/>
    <w:rsid w:val="001B7D68"/>
    <w:rsid w:val="001C0B41"/>
    <w:rsid w:val="001C2C73"/>
    <w:rsid w:val="001C2C77"/>
    <w:rsid w:val="001C3105"/>
    <w:rsid w:val="001C3EBA"/>
    <w:rsid w:val="001C581A"/>
    <w:rsid w:val="001C716D"/>
    <w:rsid w:val="001C7190"/>
    <w:rsid w:val="001C7B17"/>
    <w:rsid w:val="001D0767"/>
    <w:rsid w:val="001D0CBA"/>
    <w:rsid w:val="001D4B4C"/>
    <w:rsid w:val="001D4F84"/>
    <w:rsid w:val="001D5271"/>
    <w:rsid w:val="001D77E5"/>
    <w:rsid w:val="001D7BCB"/>
    <w:rsid w:val="001E0AA6"/>
    <w:rsid w:val="001E1080"/>
    <w:rsid w:val="001E20E0"/>
    <w:rsid w:val="001E259F"/>
    <w:rsid w:val="001E2617"/>
    <w:rsid w:val="001E4798"/>
    <w:rsid w:val="001E591E"/>
    <w:rsid w:val="001E5B6D"/>
    <w:rsid w:val="001E5DE1"/>
    <w:rsid w:val="001E73A9"/>
    <w:rsid w:val="001E76E4"/>
    <w:rsid w:val="001E7A4C"/>
    <w:rsid w:val="001F01CC"/>
    <w:rsid w:val="001F0A69"/>
    <w:rsid w:val="001F3381"/>
    <w:rsid w:val="001F3F09"/>
    <w:rsid w:val="001F4470"/>
    <w:rsid w:val="001F55AE"/>
    <w:rsid w:val="001F6E97"/>
    <w:rsid w:val="001F7E85"/>
    <w:rsid w:val="001F7F3A"/>
    <w:rsid w:val="00201563"/>
    <w:rsid w:val="00201928"/>
    <w:rsid w:val="00201D2F"/>
    <w:rsid w:val="00201E95"/>
    <w:rsid w:val="00201F97"/>
    <w:rsid w:val="0020205A"/>
    <w:rsid w:val="00202C7D"/>
    <w:rsid w:val="00205067"/>
    <w:rsid w:val="002060AA"/>
    <w:rsid w:val="0020625F"/>
    <w:rsid w:val="002066FF"/>
    <w:rsid w:val="002068EF"/>
    <w:rsid w:val="00206F46"/>
    <w:rsid w:val="0021010D"/>
    <w:rsid w:val="00210AC5"/>
    <w:rsid w:val="00211FB1"/>
    <w:rsid w:val="002120BD"/>
    <w:rsid w:val="00212FEA"/>
    <w:rsid w:val="00213510"/>
    <w:rsid w:val="0021464C"/>
    <w:rsid w:val="002149D5"/>
    <w:rsid w:val="00215113"/>
    <w:rsid w:val="00215F82"/>
    <w:rsid w:val="00216908"/>
    <w:rsid w:val="00217D79"/>
    <w:rsid w:val="00217F2A"/>
    <w:rsid w:val="00220D16"/>
    <w:rsid w:val="0022220B"/>
    <w:rsid w:val="00222938"/>
    <w:rsid w:val="00223426"/>
    <w:rsid w:val="00223AFE"/>
    <w:rsid w:val="00225D84"/>
    <w:rsid w:val="00226310"/>
    <w:rsid w:val="00226987"/>
    <w:rsid w:val="002275C4"/>
    <w:rsid w:val="0022766B"/>
    <w:rsid w:val="00227C0C"/>
    <w:rsid w:val="00230896"/>
    <w:rsid w:val="00230A48"/>
    <w:rsid w:val="00233C76"/>
    <w:rsid w:val="0023415B"/>
    <w:rsid w:val="00234979"/>
    <w:rsid w:val="002373F1"/>
    <w:rsid w:val="00237703"/>
    <w:rsid w:val="0024134B"/>
    <w:rsid w:val="0024186D"/>
    <w:rsid w:val="00241CF9"/>
    <w:rsid w:val="00241E71"/>
    <w:rsid w:val="0024356E"/>
    <w:rsid w:val="00244351"/>
    <w:rsid w:val="0024476D"/>
    <w:rsid w:val="00245432"/>
    <w:rsid w:val="002467FA"/>
    <w:rsid w:val="0024688A"/>
    <w:rsid w:val="0024698D"/>
    <w:rsid w:val="00246AB7"/>
    <w:rsid w:val="00246EAA"/>
    <w:rsid w:val="0025025C"/>
    <w:rsid w:val="002503C4"/>
    <w:rsid w:val="0025041A"/>
    <w:rsid w:val="00250FF2"/>
    <w:rsid w:val="00251533"/>
    <w:rsid w:val="002522D7"/>
    <w:rsid w:val="0025267D"/>
    <w:rsid w:val="002527F7"/>
    <w:rsid w:val="002553B1"/>
    <w:rsid w:val="00255783"/>
    <w:rsid w:val="002560AF"/>
    <w:rsid w:val="0025725F"/>
    <w:rsid w:val="0025731F"/>
    <w:rsid w:val="0026006D"/>
    <w:rsid w:val="00260085"/>
    <w:rsid w:val="0026054C"/>
    <w:rsid w:val="00260E05"/>
    <w:rsid w:val="002615F5"/>
    <w:rsid w:val="00261F53"/>
    <w:rsid w:val="00262BB3"/>
    <w:rsid w:val="002632F7"/>
    <w:rsid w:val="00263611"/>
    <w:rsid w:val="002639FF"/>
    <w:rsid w:val="002643B2"/>
    <w:rsid w:val="00264776"/>
    <w:rsid w:val="002651DC"/>
    <w:rsid w:val="0026753E"/>
    <w:rsid w:val="00271416"/>
    <w:rsid w:val="00272926"/>
    <w:rsid w:val="00272AB8"/>
    <w:rsid w:val="00272ECC"/>
    <w:rsid w:val="0027316B"/>
    <w:rsid w:val="0027738C"/>
    <w:rsid w:val="00277E09"/>
    <w:rsid w:val="002805A1"/>
    <w:rsid w:val="0028072A"/>
    <w:rsid w:val="0028072C"/>
    <w:rsid w:val="0028290D"/>
    <w:rsid w:val="0028605B"/>
    <w:rsid w:val="00286D71"/>
    <w:rsid w:val="00290C0C"/>
    <w:rsid w:val="00291E80"/>
    <w:rsid w:val="00292B1D"/>
    <w:rsid w:val="00293286"/>
    <w:rsid w:val="00293E77"/>
    <w:rsid w:val="00294278"/>
    <w:rsid w:val="002944E9"/>
    <w:rsid w:val="0029453E"/>
    <w:rsid w:val="0029563E"/>
    <w:rsid w:val="00297405"/>
    <w:rsid w:val="002A0728"/>
    <w:rsid w:val="002A0B14"/>
    <w:rsid w:val="002A1229"/>
    <w:rsid w:val="002A262E"/>
    <w:rsid w:val="002A26D8"/>
    <w:rsid w:val="002A37B6"/>
    <w:rsid w:val="002A61CE"/>
    <w:rsid w:val="002A63E9"/>
    <w:rsid w:val="002A6DD6"/>
    <w:rsid w:val="002A6FEC"/>
    <w:rsid w:val="002A713C"/>
    <w:rsid w:val="002B0650"/>
    <w:rsid w:val="002B07E5"/>
    <w:rsid w:val="002B27E8"/>
    <w:rsid w:val="002B2916"/>
    <w:rsid w:val="002B3BA5"/>
    <w:rsid w:val="002B3BB7"/>
    <w:rsid w:val="002B3F39"/>
    <w:rsid w:val="002B41A5"/>
    <w:rsid w:val="002B469B"/>
    <w:rsid w:val="002B4DC2"/>
    <w:rsid w:val="002B5F74"/>
    <w:rsid w:val="002B69C9"/>
    <w:rsid w:val="002B7BBF"/>
    <w:rsid w:val="002C1131"/>
    <w:rsid w:val="002C25D8"/>
    <w:rsid w:val="002C2832"/>
    <w:rsid w:val="002C2AEF"/>
    <w:rsid w:val="002C2B3C"/>
    <w:rsid w:val="002C2DA7"/>
    <w:rsid w:val="002C3181"/>
    <w:rsid w:val="002C7333"/>
    <w:rsid w:val="002D078A"/>
    <w:rsid w:val="002D14C6"/>
    <w:rsid w:val="002D23BD"/>
    <w:rsid w:val="002D33E2"/>
    <w:rsid w:val="002D3C11"/>
    <w:rsid w:val="002D62D0"/>
    <w:rsid w:val="002D67F1"/>
    <w:rsid w:val="002D68AD"/>
    <w:rsid w:val="002D73B1"/>
    <w:rsid w:val="002D7CC7"/>
    <w:rsid w:val="002E064C"/>
    <w:rsid w:val="002E0AC0"/>
    <w:rsid w:val="002E1635"/>
    <w:rsid w:val="002E30D4"/>
    <w:rsid w:val="002E3F31"/>
    <w:rsid w:val="002E58DD"/>
    <w:rsid w:val="002E7C4F"/>
    <w:rsid w:val="002F019F"/>
    <w:rsid w:val="002F0FDD"/>
    <w:rsid w:val="002F1B86"/>
    <w:rsid w:val="002F28B5"/>
    <w:rsid w:val="002F28D5"/>
    <w:rsid w:val="002F32E8"/>
    <w:rsid w:val="002F3A65"/>
    <w:rsid w:val="002F3FF0"/>
    <w:rsid w:val="002F5F56"/>
    <w:rsid w:val="002F753D"/>
    <w:rsid w:val="002F76E9"/>
    <w:rsid w:val="0030094C"/>
    <w:rsid w:val="00301C79"/>
    <w:rsid w:val="00301CEA"/>
    <w:rsid w:val="00303293"/>
    <w:rsid w:val="00304648"/>
    <w:rsid w:val="00304C86"/>
    <w:rsid w:val="0030515A"/>
    <w:rsid w:val="003059A0"/>
    <w:rsid w:val="00305B3F"/>
    <w:rsid w:val="00306285"/>
    <w:rsid w:val="0030680A"/>
    <w:rsid w:val="00307BFD"/>
    <w:rsid w:val="0031124B"/>
    <w:rsid w:val="00313330"/>
    <w:rsid w:val="003149CC"/>
    <w:rsid w:val="00314E55"/>
    <w:rsid w:val="003150A6"/>
    <w:rsid w:val="0031533B"/>
    <w:rsid w:val="003157E8"/>
    <w:rsid w:val="00315A63"/>
    <w:rsid w:val="0031609E"/>
    <w:rsid w:val="00316809"/>
    <w:rsid w:val="003168B1"/>
    <w:rsid w:val="00317B6A"/>
    <w:rsid w:val="00320131"/>
    <w:rsid w:val="00320B6D"/>
    <w:rsid w:val="00322151"/>
    <w:rsid w:val="0032443D"/>
    <w:rsid w:val="00324722"/>
    <w:rsid w:val="00325DC9"/>
    <w:rsid w:val="0032606C"/>
    <w:rsid w:val="00326B3A"/>
    <w:rsid w:val="003272E4"/>
    <w:rsid w:val="0033122B"/>
    <w:rsid w:val="00331780"/>
    <w:rsid w:val="00331A7D"/>
    <w:rsid w:val="00331EE7"/>
    <w:rsid w:val="003321C0"/>
    <w:rsid w:val="00333691"/>
    <w:rsid w:val="00333B76"/>
    <w:rsid w:val="003341E7"/>
    <w:rsid w:val="00336CF5"/>
    <w:rsid w:val="0034106F"/>
    <w:rsid w:val="00343228"/>
    <w:rsid w:val="0034371F"/>
    <w:rsid w:val="00344879"/>
    <w:rsid w:val="00345BA7"/>
    <w:rsid w:val="00346239"/>
    <w:rsid w:val="00347177"/>
    <w:rsid w:val="00347CCD"/>
    <w:rsid w:val="0035090A"/>
    <w:rsid w:val="00350C03"/>
    <w:rsid w:val="003513C0"/>
    <w:rsid w:val="00351554"/>
    <w:rsid w:val="0035171B"/>
    <w:rsid w:val="003528BF"/>
    <w:rsid w:val="00354009"/>
    <w:rsid w:val="0035528F"/>
    <w:rsid w:val="00360451"/>
    <w:rsid w:val="00360901"/>
    <w:rsid w:val="0036146C"/>
    <w:rsid w:val="00361A91"/>
    <w:rsid w:val="003630D8"/>
    <w:rsid w:val="00364227"/>
    <w:rsid w:val="00364760"/>
    <w:rsid w:val="00366430"/>
    <w:rsid w:val="0036774F"/>
    <w:rsid w:val="0036782F"/>
    <w:rsid w:val="00367A2F"/>
    <w:rsid w:val="00370391"/>
    <w:rsid w:val="00370ADD"/>
    <w:rsid w:val="00370DD6"/>
    <w:rsid w:val="00371418"/>
    <w:rsid w:val="0037145F"/>
    <w:rsid w:val="0037177C"/>
    <w:rsid w:val="00371FA6"/>
    <w:rsid w:val="00372976"/>
    <w:rsid w:val="0037626E"/>
    <w:rsid w:val="0037629E"/>
    <w:rsid w:val="003767A2"/>
    <w:rsid w:val="00376D23"/>
    <w:rsid w:val="0038098E"/>
    <w:rsid w:val="00380AE1"/>
    <w:rsid w:val="00380CCF"/>
    <w:rsid w:val="00380F59"/>
    <w:rsid w:val="0038122F"/>
    <w:rsid w:val="00383636"/>
    <w:rsid w:val="00383EBE"/>
    <w:rsid w:val="00385731"/>
    <w:rsid w:val="00386157"/>
    <w:rsid w:val="00386B25"/>
    <w:rsid w:val="00390843"/>
    <w:rsid w:val="00391358"/>
    <w:rsid w:val="00391F52"/>
    <w:rsid w:val="003921A1"/>
    <w:rsid w:val="00392BF9"/>
    <w:rsid w:val="003931F3"/>
    <w:rsid w:val="003948D5"/>
    <w:rsid w:val="00395129"/>
    <w:rsid w:val="003964E9"/>
    <w:rsid w:val="00396840"/>
    <w:rsid w:val="003973B2"/>
    <w:rsid w:val="003A11A5"/>
    <w:rsid w:val="003A1C7E"/>
    <w:rsid w:val="003A2A74"/>
    <w:rsid w:val="003A5BAC"/>
    <w:rsid w:val="003A5BEF"/>
    <w:rsid w:val="003A686F"/>
    <w:rsid w:val="003A6ED9"/>
    <w:rsid w:val="003A6F78"/>
    <w:rsid w:val="003A70F1"/>
    <w:rsid w:val="003A757E"/>
    <w:rsid w:val="003B01BC"/>
    <w:rsid w:val="003B0C52"/>
    <w:rsid w:val="003B149F"/>
    <w:rsid w:val="003B226A"/>
    <w:rsid w:val="003B3D28"/>
    <w:rsid w:val="003B5F9C"/>
    <w:rsid w:val="003B68CA"/>
    <w:rsid w:val="003B7031"/>
    <w:rsid w:val="003B741A"/>
    <w:rsid w:val="003B7FF3"/>
    <w:rsid w:val="003C05B7"/>
    <w:rsid w:val="003C1249"/>
    <w:rsid w:val="003C3D5F"/>
    <w:rsid w:val="003C40A4"/>
    <w:rsid w:val="003C4B63"/>
    <w:rsid w:val="003C5D25"/>
    <w:rsid w:val="003C62CF"/>
    <w:rsid w:val="003C65DB"/>
    <w:rsid w:val="003C693F"/>
    <w:rsid w:val="003C6CB6"/>
    <w:rsid w:val="003D04EB"/>
    <w:rsid w:val="003D051D"/>
    <w:rsid w:val="003D2407"/>
    <w:rsid w:val="003D2617"/>
    <w:rsid w:val="003D29AA"/>
    <w:rsid w:val="003D4805"/>
    <w:rsid w:val="003D5E29"/>
    <w:rsid w:val="003D5F6A"/>
    <w:rsid w:val="003D640C"/>
    <w:rsid w:val="003D6E74"/>
    <w:rsid w:val="003D6F1A"/>
    <w:rsid w:val="003E1071"/>
    <w:rsid w:val="003E1943"/>
    <w:rsid w:val="003E1CFF"/>
    <w:rsid w:val="003E2AA5"/>
    <w:rsid w:val="003E2CDC"/>
    <w:rsid w:val="003E38FC"/>
    <w:rsid w:val="003E665D"/>
    <w:rsid w:val="003E7281"/>
    <w:rsid w:val="003F082D"/>
    <w:rsid w:val="003F0DC7"/>
    <w:rsid w:val="003F25BF"/>
    <w:rsid w:val="003F2E8D"/>
    <w:rsid w:val="003F3888"/>
    <w:rsid w:val="003F3E23"/>
    <w:rsid w:val="003F4CB5"/>
    <w:rsid w:val="003F614E"/>
    <w:rsid w:val="003F6216"/>
    <w:rsid w:val="003F7F5E"/>
    <w:rsid w:val="00400FA5"/>
    <w:rsid w:val="00402579"/>
    <w:rsid w:val="00407217"/>
    <w:rsid w:val="0040763A"/>
    <w:rsid w:val="00410583"/>
    <w:rsid w:val="00411038"/>
    <w:rsid w:val="00413364"/>
    <w:rsid w:val="0041384F"/>
    <w:rsid w:val="0041411E"/>
    <w:rsid w:val="0041422C"/>
    <w:rsid w:val="0041482A"/>
    <w:rsid w:val="00415A98"/>
    <w:rsid w:val="00415C59"/>
    <w:rsid w:val="004161EF"/>
    <w:rsid w:val="00417263"/>
    <w:rsid w:val="004172EB"/>
    <w:rsid w:val="00421B67"/>
    <w:rsid w:val="0042227E"/>
    <w:rsid w:val="00423007"/>
    <w:rsid w:val="00423363"/>
    <w:rsid w:val="00423EDA"/>
    <w:rsid w:val="004261F9"/>
    <w:rsid w:val="004264E5"/>
    <w:rsid w:val="00426BBD"/>
    <w:rsid w:val="00427D13"/>
    <w:rsid w:val="00427EFF"/>
    <w:rsid w:val="00427F68"/>
    <w:rsid w:val="00431215"/>
    <w:rsid w:val="00431A5B"/>
    <w:rsid w:val="0043261D"/>
    <w:rsid w:val="0043280B"/>
    <w:rsid w:val="00433BE5"/>
    <w:rsid w:val="00433DBA"/>
    <w:rsid w:val="00433F02"/>
    <w:rsid w:val="004348DE"/>
    <w:rsid w:val="00436125"/>
    <w:rsid w:val="00436C06"/>
    <w:rsid w:val="00437A37"/>
    <w:rsid w:val="00437D95"/>
    <w:rsid w:val="00440F57"/>
    <w:rsid w:val="00441388"/>
    <w:rsid w:val="00443E3B"/>
    <w:rsid w:val="004443E4"/>
    <w:rsid w:val="00444F5A"/>
    <w:rsid w:val="00445543"/>
    <w:rsid w:val="00446030"/>
    <w:rsid w:val="004507BA"/>
    <w:rsid w:val="0045082D"/>
    <w:rsid w:val="00450F16"/>
    <w:rsid w:val="00453C8C"/>
    <w:rsid w:val="00453EC0"/>
    <w:rsid w:val="00454171"/>
    <w:rsid w:val="00454D8F"/>
    <w:rsid w:val="00456BF3"/>
    <w:rsid w:val="00460255"/>
    <w:rsid w:val="00462566"/>
    <w:rsid w:val="00464E21"/>
    <w:rsid w:val="0046774A"/>
    <w:rsid w:val="00470D29"/>
    <w:rsid w:val="00471DDC"/>
    <w:rsid w:val="004721A3"/>
    <w:rsid w:val="00473B21"/>
    <w:rsid w:val="00474952"/>
    <w:rsid w:val="00474B6A"/>
    <w:rsid w:val="00474F48"/>
    <w:rsid w:val="00475E2D"/>
    <w:rsid w:val="00477731"/>
    <w:rsid w:val="00481377"/>
    <w:rsid w:val="0048179D"/>
    <w:rsid w:val="00481EC2"/>
    <w:rsid w:val="00481F44"/>
    <w:rsid w:val="00482849"/>
    <w:rsid w:val="004828E2"/>
    <w:rsid w:val="00483746"/>
    <w:rsid w:val="0048383A"/>
    <w:rsid w:val="00484130"/>
    <w:rsid w:val="00484994"/>
    <w:rsid w:val="00484C06"/>
    <w:rsid w:val="004850A7"/>
    <w:rsid w:val="0048546B"/>
    <w:rsid w:val="004860A1"/>
    <w:rsid w:val="004866BC"/>
    <w:rsid w:val="004868F7"/>
    <w:rsid w:val="00486A35"/>
    <w:rsid w:val="00487235"/>
    <w:rsid w:val="004916AC"/>
    <w:rsid w:val="0049201F"/>
    <w:rsid w:val="00492B59"/>
    <w:rsid w:val="004932EA"/>
    <w:rsid w:val="004949C5"/>
    <w:rsid w:val="0049555D"/>
    <w:rsid w:val="00496AC4"/>
    <w:rsid w:val="00496CA0"/>
    <w:rsid w:val="004A115E"/>
    <w:rsid w:val="004A2221"/>
    <w:rsid w:val="004A2C77"/>
    <w:rsid w:val="004A333C"/>
    <w:rsid w:val="004A4C62"/>
    <w:rsid w:val="004A4DEF"/>
    <w:rsid w:val="004A504B"/>
    <w:rsid w:val="004A566B"/>
    <w:rsid w:val="004A6192"/>
    <w:rsid w:val="004A6319"/>
    <w:rsid w:val="004A66A7"/>
    <w:rsid w:val="004B0286"/>
    <w:rsid w:val="004B3A66"/>
    <w:rsid w:val="004B5300"/>
    <w:rsid w:val="004B5482"/>
    <w:rsid w:val="004B56F1"/>
    <w:rsid w:val="004B580A"/>
    <w:rsid w:val="004B5D53"/>
    <w:rsid w:val="004B64F4"/>
    <w:rsid w:val="004B670D"/>
    <w:rsid w:val="004B7681"/>
    <w:rsid w:val="004C05D4"/>
    <w:rsid w:val="004C21C3"/>
    <w:rsid w:val="004C247D"/>
    <w:rsid w:val="004C2C6E"/>
    <w:rsid w:val="004C3ED5"/>
    <w:rsid w:val="004C4C99"/>
    <w:rsid w:val="004C5410"/>
    <w:rsid w:val="004C5CBD"/>
    <w:rsid w:val="004C7B29"/>
    <w:rsid w:val="004D08E6"/>
    <w:rsid w:val="004D176B"/>
    <w:rsid w:val="004D1ED9"/>
    <w:rsid w:val="004D247C"/>
    <w:rsid w:val="004D3F96"/>
    <w:rsid w:val="004D4A42"/>
    <w:rsid w:val="004D519F"/>
    <w:rsid w:val="004D529F"/>
    <w:rsid w:val="004D5BC0"/>
    <w:rsid w:val="004D70DE"/>
    <w:rsid w:val="004D7921"/>
    <w:rsid w:val="004E0A01"/>
    <w:rsid w:val="004E0DAD"/>
    <w:rsid w:val="004E12F5"/>
    <w:rsid w:val="004E16B5"/>
    <w:rsid w:val="004E28BE"/>
    <w:rsid w:val="004E32A9"/>
    <w:rsid w:val="004E38FB"/>
    <w:rsid w:val="004E40E1"/>
    <w:rsid w:val="004E4517"/>
    <w:rsid w:val="004E4632"/>
    <w:rsid w:val="004E6487"/>
    <w:rsid w:val="004E6703"/>
    <w:rsid w:val="004E6B3A"/>
    <w:rsid w:val="004E6E33"/>
    <w:rsid w:val="004F0066"/>
    <w:rsid w:val="004F010C"/>
    <w:rsid w:val="004F0D2C"/>
    <w:rsid w:val="004F377E"/>
    <w:rsid w:val="004F4450"/>
    <w:rsid w:val="004F4821"/>
    <w:rsid w:val="004F4C71"/>
    <w:rsid w:val="004F4E34"/>
    <w:rsid w:val="004F6815"/>
    <w:rsid w:val="004F750C"/>
    <w:rsid w:val="00500BE5"/>
    <w:rsid w:val="00503780"/>
    <w:rsid w:val="00504105"/>
    <w:rsid w:val="0050781C"/>
    <w:rsid w:val="00507B61"/>
    <w:rsid w:val="00507D57"/>
    <w:rsid w:val="00510788"/>
    <w:rsid w:val="00511A0C"/>
    <w:rsid w:val="00512C03"/>
    <w:rsid w:val="00513180"/>
    <w:rsid w:val="005137CC"/>
    <w:rsid w:val="0051491C"/>
    <w:rsid w:val="00517437"/>
    <w:rsid w:val="0052034D"/>
    <w:rsid w:val="00520D01"/>
    <w:rsid w:val="00520EF4"/>
    <w:rsid w:val="00524D34"/>
    <w:rsid w:val="0052760C"/>
    <w:rsid w:val="00527F5B"/>
    <w:rsid w:val="0053053A"/>
    <w:rsid w:val="00530D60"/>
    <w:rsid w:val="00530D9C"/>
    <w:rsid w:val="0053210C"/>
    <w:rsid w:val="0053409F"/>
    <w:rsid w:val="00534305"/>
    <w:rsid w:val="005361BF"/>
    <w:rsid w:val="00536BB7"/>
    <w:rsid w:val="00536E5F"/>
    <w:rsid w:val="00541087"/>
    <w:rsid w:val="005417FC"/>
    <w:rsid w:val="00541AC9"/>
    <w:rsid w:val="00542300"/>
    <w:rsid w:val="005436B1"/>
    <w:rsid w:val="0054518F"/>
    <w:rsid w:val="005458F8"/>
    <w:rsid w:val="005476D1"/>
    <w:rsid w:val="00550D77"/>
    <w:rsid w:val="00551412"/>
    <w:rsid w:val="0055154E"/>
    <w:rsid w:val="00551C43"/>
    <w:rsid w:val="00551CA7"/>
    <w:rsid w:val="00553F26"/>
    <w:rsid w:val="00554D32"/>
    <w:rsid w:val="00556888"/>
    <w:rsid w:val="0055747D"/>
    <w:rsid w:val="0056055E"/>
    <w:rsid w:val="005636DF"/>
    <w:rsid w:val="0056443A"/>
    <w:rsid w:val="0056502A"/>
    <w:rsid w:val="00565C6B"/>
    <w:rsid w:val="00566FC1"/>
    <w:rsid w:val="005674B2"/>
    <w:rsid w:val="005674CF"/>
    <w:rsid w:val="00567685"/>
    <w:rsid w:val="00570333"/>
    <w:rsid w:val="0057089B"/>
    <w:rsid w:val="00570B3F"/>
    <w:rsid w:val="0057152A"/>
    <w:rsid w:val="005720BA"/>
    <w:rsid w:val="005725C1"/>
    <w:rsid w:val="00572C79"/>
    <w:rsid w:val="00573471"/>
    <w:rsid w:val="005748F7"/>
    <w:rsid w:val="005754CD"/>
    <w:rsid w:val="00575A52"/>
    <w:rsid w:val="00575D51"/>
    <w:rsid w:val="005778C3"/>
    <w:rsid w:val="00577C60"/>
    <w:rsid w:val="00580D52"/>
    <w:rsid w:val="0058134B"/>
    <w:rsid w:val="00581DB4"/>
    <w:rsid w:val="00584E7D"/>
    <w:rsid w:val="00585754"/>
    <w:rsid w:val="005862EF"/>
    <w:rsid w:val="00586D21"/>
    <w:rsid w:val="0058779F"/>
    <w:rsid w:val="00590659"/>
    <w:rsid w:val="00591028"/>
    <w:rsid w:val="005929D6"/>
    <w:rsid w:val="00592F1F"/>
    <w:rsid w:val="00592F38"/>
    <w:rsid w:val="00592F5E"/>
    <w:rsid w:val="005943D4"/>
    <w:rsid w:val="00594CC5"/>
    <w:rsid w:val="005A03EB"/>
    <w:rsid w:val="005A07D0"/>
    <w:rsid w:val="005A1305"/>
    <w:rsid w:val="005A13A6"/>
    <w:rsid w:val="005A28E4"/>
    <w:rsid w:val="005A5262"/>
    <w:rsid w:val="005A5DF1"/>
    <w:rsid w:val="005B3521"/>
    <w:rsid w:val="005B4BF2"/>
    <w:rsid w:val="005B5019"/>
    <w:rsid w:val="005B62FF"/>
    <w:rsid w:val="005B6AD2"/>
    <w:rsid w:val="005B7D9C"/>
    <w:rsid w:val="005C03C7"/>
    <w:rsid w:val="005C138D"/>
    <w:rsid w:val="005C497E"/>
    <w:rsid w:val="005C520D"/>
    <w:rsid w:val="005C5B83"/>
    <w:rsid w:val="005C6A54"/>
    <w:rsid w:val="005C6BB5"/>
    <w:rsid w:val="005C7A6B"/>
    <w:rsid w:val="005D0438"/>
    <w:rsid w:val="005D0FB2"/>
    <w:rsid w:val="005D15AB"/>
    <w:rsid w:val="005D1DB3"/>
    <w:rsid w:val="005D2015"/>
    <w:rsid w:val="005D2A0C"/>
    <w:rsid w:val="005D483B"/>
    <w:rsid w:val="005D4ED2"/>
    <w:rsid w:val="005D69FA"/>
    <w:rsid w:val="005E04D6"/>
    <w:rsid w:val="005E0A3D"/>
    <w:rsid w:val="005E12AC"/>
    <w:rsid w:val="005E15DB"/>
    <w:rsid w:val="005E1F1A"/>
    <w:rsid w:val="005E3538"/>
    <w:rsid w:val="005E3CDF"/>
    <w:rsid w:val="005E4392"/>
    <w:rsid w:val="005E4BEF"/>
    <w:rsid w:val="005E5289"/>
    <w:rsid w:val="005E61DC"/>
    <w:rsid w:val="005E6F69"/>
    <w:rsid w:val="005E770F"/>
    <w:rsid w:val="005F0010"/>
    <w:rsid w:val="005F22F2"/>
    <w:rsid w:val="005F2B06"/>
    <w:rsid w:val="005F2FC6"/>
    <w:rsid w:val="005F3C1A"/>
    <w:rsid w:val="005F430C"/>
    <w:rsid w:val="005F560D"/>
    <w:rsid w:val="005F798E"/>
    <w:rsid w:val="006005E9"/>
    <w:rsid w:val="00601886"/>
    <w:rsid w:val="00601F32"/>
    <w:rsid w:val="006021BC"/>
    <w:rsid w:val="006032B5"/>
    <w:rsid w:val="00603591"/>
    <w:rsid w:val="00605FCB"/>
    <w:rsid w:val="00606339"/>
    <w:rsid w:val="0061029F"/>
    <w:rsid w:val="00610DC7"/>
    <w:rsid w:val="006119CA"/>
    <w:rsid w:val="00611C4C"/>
    <w:rsid w:val="00611D1A"/>
    <w:rsid w:val="00611E88"/>
    <w:rsid w:val="006126E7"/>
    <w:rsid w:val="00612793"/>
    <w:rsid w:val="00612AEE"/>
    <w:rsid w:val="00612DB9"/>
    <w:rsid w:val="00613847"/>
    <w:rsid w:val="00616B38"/>
    <w:rsid w:val="00616C41"/>
    <w:rsid w:val="0061784D"/>
    <w:rsid w:val="0062029B"/>
    <w:rsid w:val="00620484"/>
    <w:rsid w:val="00623C5B"/>
    <w:rsid w:val="00625DFD"/>
    <w:rsid w:val="00626499"/>
    <w:rsid w:val="00627199"/>
    <w:rsid w:val="0063068C"/>
    <w:rsid w:val="00630AC9"/>
    <w:rsid w:val="0063152B"/>
    <w:rsid w:val="0063216E"/>
    <w:rsid w:val="00632B93"/>
    <w:rsid w:val="00634108"/>
    <w:rsid w:val="00634A12"/>
    <w:rsid w:val="00635307"/>
    <w:rsid w:val="00635D33"/>
    <w:rsid w:val="0063797D"/>
    <w:rsid w:val="00640593"/>
    <w:rsid w:val="00640F19"/>
    <w:rsid w:val="00640F30"/>
    <w:rsid w:val="006422D1"/>
    <w:rsid w:val="006423ED"/>
    <w:rsid w:val="00644178"/>
    <w:rsid w:val="00647D30"/>
    <w:rsid w:val="00650BE0"/>
    <w:rsid w:val="0065304A"/>
    <w:rsid w:val="00653F5A"/>
    <w:rsid w:val="00654411"/>
    <w:rsid w:val="00654445"/>
    <w:rsid w:val="00654477"/>
    <w:rsid w:val="00655E6D"/>
    <w:rsid w:val="00656C8F"/>
    <w:rsid w:val="006572BA"/>
    <w:rsid w:val="00657D59"/>
    <w:rsid w:val="00660ECF"/>
    <w:rsid w:val="0066350B"/>
    <w:rsid w:val="00665D9A"/>
    <w:rsid w:val="00666B46"/>
    <w:rsid w:val="00666BBD"/>
    <w:rsid w:val="00667813"/>
    <w:rsid w:val="00670128"/>
    <w:rsid w:val="0067159E"/>
    <w:rsid w:val="00672CD8"/>
    <w:rsid w:val="0067301B"/>
    <w:rsid w:val="00673C3E"/>
    <w:rsid w:val="0067596F"/>
    <w:rsid w:val="00675AC2"/>
    <w:rsid w:val="00677CD5"/>
    <w:rsid w:val="00680592"/>
    <w:rsid w:val="00680C8C"/>
    <w:rsid w:val="0068164D"/>
    <w:rsid w:val="00681DE5"/>
    <w:rsid w:val="00681E04"/>
    <w:rsid w:val="006838FC"/>
    <w:rsid w:val="0068505E"/>
    <w:rsid w:val="006850AC"/>
    <w:rsid w:val="00685304"/>
    <w:rsid w:val="00686A18"/>
    <w:rsid w:val="00690B6C"/>
    <w:rsid w:val="0069116A"/>
    <w:rsid w:val="00691A2A"/>
    <w:rsid w:val="006923A8"/>
    <w:rsid w:val="00692848"/>
    <w:rsid w:val="0069319C"/>
    <w:rsid w:val="00693D26"/>
    <w:rsid w:val="006963AB"/>
    <w:rsid w:val="006969C1"/>
    <w:rsid w:val="00697D0D"/>
    <w:rsid w:val="006A11D6"/>
    <w:rsid w:val="006A17EB"/>
    <w:rsid w:val="006A29BE"/>
    <w:rsid w:val="006A2E7A"/>
    <w:rsid w:val="006A2E87"/>
    <w:rsid w:val="006A32CC"/>
    <w:rsid w:val="006A4689"/>
    <w:rsid w:val="006A6E68"/>
    <w:rsid w:val="006A73AD"/>
    <w:rsid w:val="006A77EA"/>
    <w:rsid w:val="006B0AF0"/>
    <w:rsid w:val="006B16F9"/>
    <w:rsid w:val="006B2429"/>
    <w:rsid w:val="006B74E3"/>
    <w:rsid w:val="006B7AEB"/>
    <w:rsid w:val="006B7D5E"/>
    <w:rsid w:val="006C09B1"/>
    <w:rsid w:val="006C0C65"/>
    <w:rsid w:val="006C1CF5"/>
    <w:rsid w:val="006C250B"/>
    <w:rsid w:val="006C49F7"/>
    <w:rsid w:val="006C4DD2"/>
    <w:rsid w:val="006C4E2C"/>
    <w:rsid w:val="006C4F65"/>
    <w:rsid w:val="006C63D0"/>
    <w:rsid w:val="006C660A"/>
    <w:rsid w:val="006C6E59"/>
    <w:rsid w:val="006D0527"/>
    <w:rsid w:val="006D1D04"/>
    <w:rsid w:val="006D200E"/>
    <w:rsid w:val="006D2C6F"/>
    <w:rsid w:val="006D2C77"/>
    <w:rsid w:val="006D333C"/>
    <w:rsid w:val="006D37AB"/>
    <w:rsid w:val="006D4993"/>
    <w:rsid w:val="006D4FA9"/>
    <w:rsid w:val="006D5688"/>
    <w:rsid w:val="006D6B2E"/>
    <w:rsid w:val="006D7384"/>
    <w:rsid w:val="006D7E33"/>
    <w:rsid w:val="006E038F"/>
    <w:rsid w:val="006E1247"/>
    <w:rsid w:val="006E19A2"/>
    <w:rsid w:val="006E2354"/>
    <w:rsid w:val="006E253C"/>
    <w:rsid w:val="006E3442"/>
    <w:rsid w:val="006E4D58"/>
    <w:rsid w:val="006E6B2A"/>
    <w:rsid w:val="006E6DAA"/>
    <w:rsid w:val="006F0FF4"/>
    <w:rsid w:val="006F23AB"/>
    <w:rsid w:val="006F2821"/>
    <w:rsid w:val="006F3BF3"/>
    <w:rsid w:val="006F5BCD"/>
    <w:rsid w:val="006F7F5E"/>
    <w:rsid w:val="0070043C"/>
    <w:rsid w:val="007010B5"/>
    <w:rsid w:val="007012DC"/>
    <w:rsid w:val="0070187D"/>
    <w:rsid w:val="007018DD"/>
    <w:rsid w:val="00702559"/>
    <w:rsid w:val="00703201"/>
    <w:rsid w:val="00703727"/>
    <w:rsid w:val="00703766"/>
    <w:rsid w:val="00705B21"/>
    <w:rsid w:val="00705D7D"/>
    <w:rsid w:val="00705FBD"/>
    <w:rsid w:val="007069CF"/>
    <w:rsid w:val="00707C1F"/>
    <w:rsid w:val="00707E61"/>
    <w:rsid w:val="0071129D"/>
    <w:rsid w:val="00711607"/>
    <w:rsid w:val="00711E26"/>
    <w:rsid w:val="0071260F"/>
    <w:rsid w:val="007129C5"/>
    <w:rsid w:val="00712E2E"/>
    <w:rsid w:val="0071367E"/>
    <w:rsid w:val="00713F4A"/>
    <w:rsid w:val="00714167"/>
    <w:rsid w:val="007146E3"/>
    <w:rsid w:val="0071496B"/>
    <w:rsid w:val="00714E79"/>
    <w:rsid w:val="0071748B"/>
    <w:rsid w:val="007175BB"/>
    <w:rsid w:val="00717D88"/>
    <w:rsid w:val="007226FF"/>
    <w:rsid w:val="007247F3"/>
    <w:rsid w:val="00725B1D"/>
    <w:rsid w:val="00726514"/>
    <w:rsid w:val="00726764"/>
    <w:rsid w:val="00726E07"/>
    <w:rsid w:val="00727202"/>
    <w:rsid w:val="007300DE"/>
    <w:rsid w:val="00730A61"/>
    <w:rsid w:val="00730BFF"/>
    <w:rsid w:val="00730C24"/>
    <w:rsid w:val="007342BB"/>
    <w:rsid w:val="00736153"/>
    <w:rsid w:val="007363D0"/>
    <w:rsid w:val="0073659C"/>
    <w:rsid w:val="00736661"/>
    <w:rsid w:val="0073695F"/>
    <w:rsid w:val="00736B1E"/>
    <w:rsid w:val="00736F8D"/>
    <w:rsid w:val="00737E2C"/>
    <w:rsid w:val="00740058"/>
    <w:rsid w:val="007401A0"/>
    <w:rsid w:val="0074036C"/>
    <w:rsid w:val="0074092F"/>
    <w:rsid w:val="00741BD2"/>
    <w:rsid w:val="00742D0A"/>
    <w:rsid w:val="00743722"/>
    <w:rsid w:val="00743987"/>
    <w:rsid w:val="007453B0"/>
    <w:rsid w:val="00745EB4"/>
    <w:rsid w:val="0074638A"/>
    <w:rsid w:val="00750756"/>
    <w:rsid w:val="00750C40"/>
    <w:rsid w:val="00750EAF"/>
    <w:rsid w:val="00750F94"/>
    <w:rsid w:val="0075288F"/>
    <w:rsid w:val="00754013"/>
    <w:rsid w:val="00754ABB"/>
    <w:rsid w:val="00755357"/>
    <w:rsid w:val="00755734"/>
    <w:rsid w:val="00755738"/>
    <w:rsid w:val="0075619C"/>
    <w:rsid w:val="00760A39"/>
    <w:rsid w:val="0076121B"/>
    <w:rsid w:val="007616C5"/>
    <w:rsid w:val="007627EE"/>
    <w:rsid w:val="007632D5"/>
    <w:rsid w:val="00763D81"/>
    <w:rsid w:val="007646E8"/>
    <w:rsid w:val="00764835"/>
    <w:rsid w:val="0076505C"/>
    <w:rsid w:val="00765179"/>
    <w:rsid w:val="00765B02"/>
    <w:rsid w:val="0076724B"/>
    <w:rsid w:val="007704D5"/>
    <w:rsid w:val="0077234D"/>
    <w:rsid w:val="00772FD6"/>
    <w:rsid w:val="007730E8"/>
    <w:rsid w:val="00773791"/>
    <w:rsid w:val="00773C85"/>
    <w:rsid w:val="00774370"/>
    <w:rsid w:val="00774603"/>
    <w:rsid w:val="00775300"/>
    <w:rsid w:val="00775F4F"/>
    <w:rsid w:val="00776F3E"/>
    <w:rsid w:val="00777FE4"/>
    <w:rsid w:val="007803B5"/>
    <w:rsid w:val="0078098F"/>
    <w:rsid w:val="00780B6D"/>
    <w:rsid w:val="0078118F"/>
    <w:rsid w:val="00782803"/>
    <w:rsid w:val="007832C4"/>
    <w:rsid w:val="00783787"/>
    <w:rsid w:val="007846F9"/>
    <w:rsid w:val="007867C6"/>
    <w:rsid w:val="00787087"/>
    <w:rsid w:val="0079004F"/>
    <w:rsid w:val="00790913"/>
    <w:rsid w:val="0079104B"/>
    <w:rsid w:val="00791770"/>
    <w:rsid w:val="00791C9A"/>
    <w:rsid w:val="007967F1"/>
    <w:rsid w:val="007A1439"/>
    <w:rsid w:val="007A376F"/>
    <w:rsid w:val="007A39E0"/>
    <w:rsid w:val="007A4442"/>
    <w:rsid w:val="007A5AE7"/>
    <w:rsid w:val="007A6DA8"/>
    <w:rsid w:val="007A708F"/>
    <w:rsid w:val="007A75BF"/>
    <w:rsid w:val="007A77E4"/>
    <w:rsid w:val="007A78D3"/>
    <w:rsid w:val="007A7A26"/>
    <w:rsid w:val="007A7B49"/>
    <w:rsid w:val="007A7C5D"/>
    <w:rsid w:val="007B03C5"/>
    <w:rsid w:val="007B0871"/>
    <w:rsid w:val="007B1296"/>
    <w:rsid w:val="007B12AC"/>
    <w:rsid w:val="007B19B8"/>
    <w:rsid w:val="007B3525"/>
    <w:rsid w:val="007B37DD"/>
    <w:rsid w:val="007B4569"/>
    <w:rsid w:val="007B46E7"/>
    <w:rsid w:val="007B48FF"/>
    <w:rsid w:val="007B534C"/>
    <w:rsid w:val="007B6587"/>
    <w:rsid w:val="007C0390"/>
    <w:rsid w:val="007C0423"/>
    <w:rsid w:val="007C0C68"/>
    <w:rsid w:val="007C1DD9"/>
    <w:rsid w:val="007C24B8"/>
    <w:rsid w:val="007C2908"/>
    <w:rsid w:val="007C2B21"/>
    <w:rsid w:val="007C34D2"/>
    <w:rsid w:val="007C358F"/>
    <w:rsid w:val="007C37E5"/>
    <w:rsid w:val="007C3802"/>
    <w:rsid w:val="007C424B"/>
    <w:rsid w:val="007C57A6"/>
    <w:rsid w:val="007D0106"/>
    <w:rsid w:val="007D05F4"/>
    <w:rsid w:val="007D0B8A"/>
    <w:rsid w:val="007D2D7C"/>
    <w:rsid w:val="007D2F48"/>
    <w:rsid w:val="007D33A1"/>
    <w:rsid w:val="007D3628"/>
    <w:rsid w:val="007D371F"/>
    <w:rsid w:val="007D389E"/>
    <w:rsid w:val="007D5614"/>
    <w:rsid w:val="007D75B7"/>
    <w:rsid w:val="007D7B94"/>
    <w:rsid w:val="007E185B"/>
    <w:rsid w:val="007E1938"/>
    <w:rsid w:val="007E1967"/>
    <w:rsid w:val="007E275C"/>
    <w:rsid w:val="007E3BAA"/>
    <w:rsid w:val="007E3FF1"/>
    <w:rsid w:val="007E4875"/>
    <w:rsid w:val="007E4E54"/>
    <w:rsid w:val="007E6320"/>
    <w:rsid w:val="007E7F7D"/>
    <w:rsid w:val="007F038C"/>
    <w:rsid w:val="007F06AF"/>
    <w:rsid w:val="007F1727"/>
    <w:rsid w:val="007F1ADA"/>
    <w:rsid w:val="007F1C0E"/>
    <w:rsid w:val="007F2DF6"/>
    <w:rsid w:val="007F3BC7"/>
    <w:rsid w:val="007F3E62"/>
    <w:rsid w:val="007F3F70"/>
    <w:rsid w:val="007F5B7D"/>
    <w:rsid w:val="007F66BB"/>
    <w:rsid w:val="007F678B"/>
    <w:rsid w:val="007F6FEA"/>
    <w:rsid w:val="00800725"/>
    <w:rsid w:val="008015D0"/>
    <w:rsid w:val="00801D10"/>
    <w:rsid w:val="0080465E"/>
    <w:rsid w:val="00806CC2"/>
    <w:rsid w:val="0080764E"/>
    <w:rsid w:val="00807826"/>
    <w:rsid w:val="008079C3"/>
    <w:rsid w:val="00811826"/>
    <w:rsid w:val="00811E4E"/>
    <w:rsid w:val="008122A5"/>
    <w:rsid w:val="00812734"/>
    <w:rsid w:val="00813780"/>
    <w:rsid w:val="008144B8"/>
    <w:rsid w:val="00814D72"/>
    <w:rsid w:val="0081544F"/>
    <w:rsid w:val="00815D62"/>
    <w:rsid w:val="00816D78"/>
    <w:rsid w:val="00817369"/>
    <w:rsid w:val="0081737E"/>
    <w:rsid w:val="00817C31"/>
    <w:rsid w:val="008214BC"/>
    <w:rsid w:val="0082220D"/>
    <w:rsid w:val="0082246F"/>
    <w:rsid w:val="00822B7C"/>
    <w:rsid w:val="008231CD"/>
    <w:rsid w:val="00823ED9"/>
    <w:rsid w:val="0082453D"/>
    <w:rsid w:val="00824B46"/>
    <w:rsid w:val="00825B5C"/>
    <w:rsid w:val="00825ED0"/>
    <w:rsid w:val="00826406"/>
    <w:rsid w:val="008271B9"/>
    <w:rsid w:val="00827CC3"/>
    <w:rsid w:val="00830068"/>
    <w:rsid w:val="00830C04"/>
    <w:rsid w:val="00831625"/>
    <w:rsid w:val="008336CA"/>
    <w:rsid w:val="00833FAE"/>
    <w:rsid w:val="008356B8"/>
    <w:rsid w:val="00836BD5"/>
    <w:rsid w:val="008417CD"/>
    <w:rsid w:val="00841CB2"/>
    <w:rsid w:val="00841E0E"/>
    <w:rsid w:val="00845983"/>
    <w:rsid w:val="00846C00"/>
    <w:rsid w:val="00847099"/>
    <w:rsid w:val="008477E0"/>
    <w:rsid w:val="0085002F"/>
    <w:rsid w:val="008506C2"/>
    <w:rsid w:val="00851808"/>
    <w:rsid w:val="008535AB"/>
    <w:rsid w:val="00853C1B"/>
    <w:rsid w:val="00854591"/>
    <w:rsid w:val="00854EF1"/>
    <w:rsid w:val="00855CD6"/>
    <w:rsid w:val="00856554"/>
    <w:rsid w:val="00860010"/>
    <w:rsid w:val="00861A65"/>
    <w:rsid w:val="00861B21"/>
    <w:rsid w:val="008629BF"/>
    <w:rsid w:val="00862F09"/>
    <w:rsid w:val="00863346"/>
    <w:rsid w:val="00863E6B"/>
    <w:rsid w:val="008672FC"/>
    <w:rsid w:val="00867709"/>
    <w:rsid w:val="00867F47"/>
    <w:rsid w:val="00870107"/>
    <w:rsid w:val="008723B0"/>
    <w:rsid w:val="0087240F"/>
    <w:rsid w:val="008754B2"/>
    <w:rsid w:val="008769AF"/>
    <w:rsid w:val="0087743B"/>
    <w:rsid w:val="00877B37"/>
    <w:rsid w:val="00877CF4"/>
    <w:rsid w:val="00877DEF"/>
    <w:rsid w:val="008805AA"/>
    <w:rsid w:val="008805FE"/>
    <w:rsid w:val="008809B0"/>
    <w:rsid w:val="00880BA2"/>
    <w:rsid w:val="00880DE7"/>
    <w:rsid w:val="00881267"/>
    <w:rsid w:val="00882C36"/>
    <w:rsid w:val="00883A64"/>
    <w:rsid w:val="00884D76"/>
    <w:rsid w:val="0088671F"/>
    <w:rsid w:val="00890610"/>
    <w:rsid w:val="00892AA4"/>
    <w:rsid w:val="00892EB0"/>
    <w:rsid w:val="008930C3"/>
    <w:rsid w:val="00894E2A"/>
    <w:rsid w:val="008954D0"/>
    <w:rsid w:val="00895FF6"/>
    <w:rsid w:val="0089645C"/>
    <w:rsid w:val="00896735"/>
    <w:rsid w:val="008978B1"/>
    <w:rsid w:val="008A0938"/>
    <w:rsid w:val="008A0C57"/>
    <w:rsid w:val="008A0F5A"/>
    <w:rsid w:val="008A1099"/>
    <w:rsid w:val="008A2C8D"/>
    <w:rsid w:val="008A79CA"/>
    <w:rsid w:val="008B0703"/>
    <w:rsid w:val="008B1BA1"/>
    <w:rsid w:val="008B4B60"/>
    <w:rsid w:val="008B5380"/>
    <w:rsid w:val="008B54B4"/>
    <w:rsid w:val="008B614B"/>
    <w:rsid w:val="008C01C7"/>
    <w:rsid w:val="008C07F6"/>
    <w:rsid w:val="008C0FE2"/>
    <w:rsid w:val="008C3C90"/>
    <w:rsid w:val="008C4955"/>
    <w:rsid w:val="008C568A"/>
    <w:rsid w:val="008C56B2"/>
    <w:rsid w:val="008C5F2D"/>
    <w:rsid w:val="008C741E"/>
    <w:rsid w:val="008C77CA"/>
    <w:rsid w:val="008C7A06"/>
    <w:rsid w:val="008D1277"/>
    <w:rsid w:val="008D186C"/>
    <w:rsid w:val="008D2D0F"/>
    <w:rsid w:val="008D3F03"/>
    <w:rsid w:val="008D403E"/>
    <w:rsid w:val="008D4C66"/>
    <w:rsid w:val="008D6135"/>
    <w:rsid w:val="008D6B62"/>
    <w:rsid w:val="008D6B90"/>
    <w:rsid w:val="008D6C8A"/>
    <w:rsid w:val="008E0011"/>
    <w:rsid w:val="008E005B"/>
    <w:rsid w:val="008E02BE"/>
    <w:rsid w:val="008E036E"/>
    <w:rsid w:val="008E0BB9"/>
    <w:rsid w:val="008E1550"/>
    <w:rsid w:val="008E1629"/>
    <w:rsid w:val="008E1C09"/>
    <w:rsid w:val="008E73B8"/>
    <w:rsid w:val="008F220B"/>
    <w:rsid w:val="008F25AC"/>
    <w:rsid w:val="008F2810"/>
    <w:rsid w:val="008F2D9D"/>
    <w:rsid w:val="008F4111"/>
    <w:rsid w:val="008F41B9"/>
    <w:rsid w:val="008F4A7C"/>
    <w:rsid w:val="008F77FC"/>
    <w:rsid w:val="00900152"/>
    <w:rsid w:val="009005CA"/>
    <w:rsid w:val="0090128B"/>
    <w:rsid w:val="00901736"/>
    <w:rsid w:val="00901804"/>
    <w:rsid w:val="00901B23"/>
    <w:rsid w:val="00901F53"/>
    <w:rsid w:val="00903235"/>
    <w:rsid w:val="00903825"/>
    <w:rsid w:val="0090390E"/>
    <w:rsid w:val="00905667"/>
    <w:rsid w:val="00905C20"/>
    <w:rsid w:val="00906843"/>
    <w:rsid w:val="00906E6B"/>
    <w:rsid w:val="00907E67"/>
    <w:rsid w:val="00911E16"/>
    <w:rsid w:val="009132BC"/>
    <w:rsid w:val="009139F0"/>
    <w:rsid w:val="009142CE"/>
    <w:rsid w:val="0091535A"/>
    <w:rsid w:val="009153EC"/>
    <w:rsid w:val="00915D7E"/>
    <w:rsid w:val="00916DD2"/>
    <w:rsid w:val="0091788B"/>
    <w:rsid w:val="00922693"/>
    <w:rsid w:val="00922D9A"/>
    <w:rsid w:val="0093138E"/>
    <w:rsid w:val="00931A36"/>
    <w:rsid w:val="00933F9B"/>
    <w:rsid w:val="00935EE5"/>
    <w:rsid w:val="0093631C"/>
    <w:rsid w:val="0093638E"/>
    <w:rsid w:val="00937A64"/>
    <w:rsid w:val="00937FE8"/>
    <w:rsid w:val="0094118A"/>
    <w:rsid w:val="009412E9"/>
    <w:rsid w:val="00941436"/>
    <w:rsid w:val="00941E2A"/>
    <w:rsid w:val="00945548"/>
    <w:rsid w:val="00945567"/>
    <w:rsid w:val="009464CA"/>
    <w:rsid w:val="00946967"/>
    <w:rsid w:val="00946C75"/>
    <w:rsid w:val="00946DB5"/>
    <w:rsid w:val="00947FFC"/>
    <w:rsid w:val="00950069"/>
    <w:rsid w:val="00951825"/>
    <w:rsid w:val="00951B72"/>
    <w:rsid w:val="009528AF"/>
    <w:rsid w:val="00953A0A"/>
    <w:rsid w:val="009553E4"/>
    <w:rsid w:val="00955EA1"/>
    <w:rsid w:val="00957379"/>
    <w:rsid w:val="009616FC"/>
    <w:rsid w:val="00962DD8"/>
    <w:rsid w:val="00962E8A"/>
    <w:rsid w:val="0096356E"/>
    <w:rsid w:val="009635E9"/>
    <w:rsid w:val="00965F5C"/>
    <w:rsid w:val="00966206"/>
    <w:rsid w:val="009669CF"/>
    <w:rsid w:val="00966CB4"/>
    <w:rsid w:val="00967FCD"/>
    <w:rsid w:val="009702B9"/>
    <w:rsid w:val="0097065C"/>
    <w:rsid w:val="00970E16"/>
    <w:rsid w:val="009715C9"/>
    <w:rsid w:val="009715D6"/>
    <w:rsid w:val="009718E3"/>
    <w:rsid w:val="00972768"/>
    <w:rsid w:val="00972789"/>
    <w:rsid w:val="00973707"/>
    <w:rsid w:val="00975DA7"/>
    <w:rsid w:val="00980F46"/>
    <w:rsid w:val="009814D4"/>
    <w:rsid w:val="009818A3"/>
    <w:rsid w:val="009832E0"/>
    <w:rsid w:val="00984B76"/>
    <w:rsid w:val="009866D7"/>
    <w:rsid w:val="009867FE"/>
    <w:rsid w:val="0098790B"/>
    <w:rsid w:val="00987BE9"/>
    <w:rsid w:val="00987CB9"/>
    <w:rsid w:val="009900CB"/>
    <w:rsid w:val="00991195"/>
    <w:rsid w:val="00993416"/>
    <w:rsid w:val="0099613E"/>
    <w:rsid w:val="00996CB2"/>
    <w:rsid w:val="00996F07"/>
    <w:rsid w:val="009A12B4"/>
    <w:rsid w:val="009A20A5"/>
    <w:rsid w:val="009A2FA5"/>
    <w:rsid w:val="009A3233"/>
    <w:rsid w:val="009A3805"/>
    <w:rsid w:val="009A3AFF"/>
    <w:rsid w:val="009A3D6B"/>
    <w:rsid w:val="009A3DFF"/>
    <w:rsid w:val="009A4136"/>
    <w:rsid w:val="009A4482"/>
    <w:rsid w:val="009A585D"/>
    <w:rsid w:val="009A681C"/>
    <w:rsid w:val="009A700F"/>
    <w:rsid w:val="009B0952"/>
    <w:rsid w:val="009B0CD4"/>
    <w:rsid w:val="009B1128"/>
    <w:rsid w:val="009B1447"/>
    <w:rsid w:val="009B19CF"/>
    <w:rsid w:val="009B1F26"/>
    <w:rsid w:val="009B2153"/>
    <w:rsid w:val="009B23C6"/>
    <w:rsid w:val="009B272A"/>
    <w:rsid w:val="009B3DD1"/>
    <w:rsid w:val="009B4ABC"/>
    <w:rsid w:val="009B4B96"/>
    <w:rsid w:val="009C24D2"/>
    <w:rsid w:val="009C268A"/>
    <w:rsid w:val="009C2FF1"/>
    <w:rsid w:val="009C43EC"/>
    <w:rsid w:val="009C6290"/>
    <w:rsid w:val="009C6E31"/>
    <w:rsid w:val="009C7EAD"/>
    <w:rsid w:val="009D093B"/>
    <w:rsid w:val="009D135B"/>
    <w:rsid w:val="009D2E65"/>
    <w:rsid w:val="009D48DB"/>
    <w:rsid w:val="009D68CD"/>
    <w:rsid w:val="009D7182"/>
    <w:rsid w:val="009D739B"/>
    <w:rsid w:val="009D7742"/>
    <w:rsid w:val="009D7B1A"/>
    <w:rsid w:val="009E02DD"/>
    <w:rsid w:val="009E2729"/>
    <w:rsid w:val="009E28D8"/>
    <w:rsid w:val="009E4243"/>
    <w:rsid w:val="009F041D"/>
    <w:rsid w:val="009F0F03"/>
    <w:rsid w:val="009F0FE4"/>
    <w:rsid w:val="009F161F"/>
    <w:rsid w:val="009F2899"/>
    <w:rsid w:val="009F2DCD"/>
    <w:rsid w:val="009F4839"/>
    <w:rsid w:val="009F4AA2"/>
    <w:rsid w:val="009F6163"/>
    <w:rsid w:val="009F6FAB"/>
    <w:rsid w:val="00A00E17"/>
    <w:rsid w:val="00A00EE4"/>
    <w:rsid w:val="00A02157"/>
    <w:rsid w:val="00A030E7"/>
    <w:rsid w:val="00A0681A"/>
    <w:rsid w:val="00A124E2"/>
    <w:rsid w:val="00A12D57"/>
    <w:rsid w:val="00A13CC9"/>
    <w:rsid w:val="00A14954"/>
    <w:rsid w:val="00A1772F"/>
    <w:rsid w:val="00A17F71"/>
    <w:rsid w:val="00A17FA5"/>
    <w:rsid w:val="00A20262"/>
    <w:rsid w:val="00A22643"/>
    <w:rsid w:val="00A22B92"/>
    <w:rsid w:val="00A22BCC"/>
    <w:rsid w:val="00A24E64"/>
    <w:rsid w:val="00A270E1"/>
    <w:rsid w:val="00A301AB"/>
    <w:rsid w:val="00A3027C"/>
    <w:rsid w:val="00A30298"/>
    <w:rsid w:val="00A3033B"/>
    <w:rsid w:val="00A3034D"/>
    <w:rsid w:val="00A30941"/>
    <w:rsid w:val="00A31120"/>
    <w:rsid w:val="00A3167B"/>
    <w:rsid w:val="00A31A58"/>
    <w:rsid w:val="00A31DEB"/>
    <w:rsid w:val="00A32B2D"/>
    <w:rsid w:val="00A32D96"/>
    <w:rsid w:val="00A33190"/>
    <w:rsid w:val="00A359CE"/>
    <w:rsid w:val="00A35EF8"/>
    <w:rsid w:val="00A369CC"/>
    <w:rsid w:val="00A36CF5"/>
    <w:rsid w:val="00A37708"/>
    <w:rsid w:val="00A411D0"/>
    <w:rsid w:val="00A413EF"/>
    <w:rsid w:val="00A42D60"/>
    <w:rsid w:val="00A43AD9"/>
    <w:rsid w:val="00A44278"/>
    <w:rsid w:val="00A45387"/>
    <w:rsid w:val="00A46E51"/>
    <w:rsid w:val="00A47195"/>
    <w:rsid w:val="00A5049A"/>
    <w:rsid w:val="00A50659"/>
    <w:rsid w:val="00A50BA6"/>
    <w:rsid w:val="00A51050"/>
    <w:rsid w:val="00A51053"/>
    <w:rsid w:val="00A51FCF"/>
    <w:rsid w:val="00A53F2E"/>
    <w:rsid w:val="00A545E5"/>
    <w:rsid w:val="00A55861"/>
    <w:rsid w:val="00A55B45"/>
    <w:rsid w:val="00A561AD"/>
    <w:rsid w:val="00A605BD"/>
    <w:rsid w:val="00A60602"/>
    <w:rsid w:val="00A619C2"/>
    <w:rsid w:val="00A63817"/>
    <w:rsid w:val="00A6488C"/>
    <w:rsid w:val="00A656BA"/>
    <w:rsid w:val="00A65C79"/>
    <w:rsid w:val="00A66CFF"/>
    <w:rsid w:val="00A71782"/>
    <w:rsid w:val="00A71B95"/>
    <w:rsid w:val="00A726EC"/>
    <w:rsid w:val="00A72CAC"/>
    <w:rsid w:val="00A73811"/>
    <w:rsid w:val="00A74FB5"/>
    <w:rsid w:val="00A77361"/>
    <w:rsid w:val="00A774CE"/>
    <w:rsid w:val="00A77906"/>
    <w:rsid w:val="00A831F2"/>
    <w:rsid w:val="00A83F89"/>
    <w:rsid w:val="00A84741"/>
    <w:rsid w:val="00A86A3E"/>
    <w:rsid w:val="00A90E1A"/>
    <w:rsid w:val="00A91772"/>
    <w:rsid w:val="00A9227D"/>
    <w:rsid w:val="00A93230"/>
    <w:rsid w:val="00A942AA"/>
    <w:rsid w:val="00A97A8D"/>
    <w:rsid w:val="00AA3523"/>
    <w:rsid w:val="00AA3680"/>
    <w:rsid w:val="00AA3B2E"/>
    <w:rsid w:val="00AA46C6"/>
    <w:rsid w:val="00AA4A0A"/>
    <w:rsid w:val="00AA4F69"/>
    <w:rsid w:val="00AA6C9C"/>
    <w:rsid w:val="00AA78CF"/>
    <w:rsid w:val="00AA7B9B"/>
    <w:rsid w:val="00AB004A"/>
    <w:rsid w:val="00AB1F4D"/>
    <w:rsid w:val="00AB2B87"/>
    <w:rsid w:val="00AB3A8A"/>
    <w:rsid w:val="00AB3C9C"/>
    <w:rsid w:val="00AB3EE4"/>
    <w:rsid w:val="00AB4285"/>
    <w:rsid w:val="00AB42B9"/>
    <w:rsid w:val="00AB655A"/>
    <w:rsid w:val="00AB682B"/>
    <w:rsid w:val="00AB6F77"/>
    <w:rsid w:val="00AC05D6"/>
    <w:rsid w:val="00AC1321"/>
    <w:rsid w:val="00AC1A8C"/>
    <w:rsid w:val="00AC3FAD"/>
    <w:rsid w:val="00AC4123"/>
    <w:rsid w:val="00AC5F0C"/>
    <w:rsid w:val="00AC64EE"/>
    <w:rsid w:val="00AC7837"/>
    <w:rsid w:val="00AD0730"/>
    <w:rsid w:val="00AD16FB"/>
    <w:rsid w:val="00AD2304"/>
    <w:rsid w:val="00AD2627"/>
    <w:rsid w:val="00AD27A5"/>
    <w:rsid w:val="00AD2A96"/>
    <w:rsid w:val="00AD3892"/>
    <w:rsid w:val="00AD4A6F"/>
    <w:rsid w:val="00AE058D"/>
    <w:rsid w:val="00AE0699"/>
    <w:rsid w:val="00AE0A06"/>
    <w:rsid w:val="00AE0A41"/>
    <w:rsid w:val="00AE0F34"/>
    <w:rsid w:val="00AE1136"/>
    <w:rsid w:val="00AE1242"/>
    <w:rsid w:val="00AE13EE"/>
    <w:rsid w:val="00AE163D"/>
    <w:rsid w:val="00AE1FA3"/>
    <w:rsid w:val="00AE21A1"/>
    <w:rsid w:val="00AE2558"/>
    <w:rsid w:val="00AE2C41"/>
    <w:rsid w:val="00AE3B69"/>
    <w:rsid w:val="00AE3EBB"/>
    <w:rsid w:val="00AE5934"/>
    <w:rsid w:val="00AE640F"/>
    <w:rsid w:val="00AE76BB"/>
    <w:rsid w:val="00AF06F5"/>
    <w:rsid w:val="00AF0A61"/>
    <w:rsid w:val="00AF17E5"/>
    <w:rsid w:val="00AF1DC9"/>
    <w:rsid w:val="00AF25E4"/>
    <w:rsid w:val="00AF347C"/>
    <w:rsid w:val="00AF3927"/>
    <w:rsid w:val="00AF3C40"/>
    <w:rsid w:val="00AF3CF4"/>
    <w:rsid w:val="00AF461C"/>
    <w:rsid w:val="00AF539C"/>
    <w:rsid w:val="00AF552E"/>
    <w:rsid w:val="00B01323"/>
    <w:rsid w:val="00B01467"/>
    <w:rsid w:val="00B030B2"/>
    <w:rsid w:val="00B036C8"/>
    <w:rsid w:val="00B04F2A"/>
    <w:rsid w:val="00B063B2"/>
    <w:rsid w:val="00B07F0F"/>
    <w:rsid w:val="00B1057C"/>
    <w:rsid w:val="00B10CFA"/>
    <w:rsid w:val="00B14135"/>
    <w:rsid w:val="00B14A0B"/>
    <w:rsid w:val="00B15A10"/>
    <w:rsid w:val="00B201A4"/>
    <w:rsid w:val="00B20794"/>
    <w:rsid w:val="00B21818"/>
    <w:rsid w:val="00B21F96"/>
    <w:rsid w:val="00B220E3"/>
    <w:rsid w:val="00B221F5"/>
    <w:rsid w:val="00B24D83"/>
    <w:rsid w:val="00B24FB1"/>
    <w:rsid w:val="00B250AC"/>
    <w:rsid w:val="00B25240"/>
    <w:rsid w:val="00B25620"/>
    <w:rsid w:val="00B267F7"/>
    <w:rsid w:val="00B279F9"/>
    <w:rsid w:val="00B31254"/>
    <w:rsid w:val="00B31AC7"/>
    <w:rsid w:val="00B31C6A"/>
    <w:rsid w:val="00B330CD"/>
    <w:rsid w:val="00B34896"/>
    <w:rsid w:val="00B37017"/>
    <w:rsid w:val="00B371F2"/>
    <w:rsid w:val="00B37FF3"/>
    <w:rsid w:val="00B40A07"/>
    <w:rsid w:val="00B41A00"/>
    <w:rsid w:val="00B41FD5"/>
    <w:rsid w:val="00B42C4E"/>
    <w:rsid w:val="00B440C3"/>
    <w:rsid w:val="00B44D0F"/>
    <w:rsid w:val="00B45121"/>
    <w:rsid w:val="00B46EA1"/>
    <w:rsid w:val="00B50C3B"/>
    <w:rsid w:val="00B510DC"/>
    <w:rsid w:val="00B5210C"/>
    <w:rsid w:val="00B52966"/>
    <w:rsid w:val="00B52F1A"/>
    <w:rsid w:val="00B567E6"/>
    <w:rsid w:val="00B60E06"/>
    <w:rsid w:val="00B61FF3"/>
    <w:rsid w:val="00B639F4"/>
    <w:rsid w:val="00B65F2B"/>
    <w:rsid w:val="00B66163"/>
    <w:rsid w:val="00B6688B"/>
    <w:rsid w:val="00B66D27"/>
    <w:rsid w:val="00B70B1B"/>
    <w:rsid w:val="00B71C6F"/>
    <w:rsid w:val="00B72BE2"/>
    <w:rsid w:val="00B72E98"/>
    <w:rsid w:val="00B72F0E"/>
    <w:rsid w:val="00B73157"/>
    <w:rsid w:val="00B73879"/>
    <w:rsid w:val="00B73C15"/>
    <w:rsid w:val="00B74503"/>
    <w:rsid w:val="00B75BDC"/>
    <w:rsid w:val="00B761DC"/>
    <w:rsid w:val="00B76407"/>
    <w:rsid w:val="00B76686"/>
    <w:rsid w:val="00B76DE6"/>
    <w:rsid w:val="00B7731C"/>
    <w:rsid w:val="00B77C52"/>
    <w:rsid w:val="00B81909"/>
    <w:rsid w:val="00B82174"/>
    <w:rsid w:val="00B82289"/>
    <w:rsid w:val="00B8288A"/>
    <w:rsid w:val="00B832B9"/>
    <w:rsid w:val="00B83735"/>
    <w:rsid w:val="00B83910"/>
    <w:rsid w:val="00B84845"/>
    <w:rsid w:val="00B84D3C"/>
    <w:rsid w:val="00B85810"/>
    <w:rsid w:val="00B86960"/>
    <w:rsid w:val="00B86BF3"/>
    <w:rsid w:val="00B87654"/>
    <w:rsid w:val="00B919B3"/>
    <w:rsid w:val="00B91CC8"/>
    <w:rsid w:val="00B91F05"/>
    <w:rsid w:val="00B920EB"/>
    <w:rsid w:val="00B92EEA"/>
    <w:rsid w:val="00B934D5"/>
    <w:rsid w:val="00B93794"/>
    <w:rsid w:val="00B945E8"/>
    <w:rsid w:val="00B95894"/>
    <w:rsid w:val="00B9715B"/>
    <w:rsid w:val="00B9739A"/>
    <w:rsid w:val="00BA0631"/>
    <w:rsid w:val="00BA2AC9"/>
    <w:rsid w:val="00BA2BF1"/>
    <w:rsid w:val="00BA3AC4"/>
    <w:rsid w:val="00BA3B0B"/>
    <w:rsid w:val="00BA49C5"/>
    <w:rsid w:val="00BA5089"/>
    <w:rsid w:val="00BA5C4C"/>
    <w:rsid w:val="00BA69E0"/>
    <w:rsid w:val="00BB0072"/>
    <w:rsid w:val="00BB03E7"/>
    <w:rsid w:val="00BB132B"/>
    <w:rsid w:val="00BB197E"/>
    <w:rsid w:val="00BB2271"/>
    <w:rsid w:val="00BB4748"/>
    <w:rsid w:val="00BB66EF"/>
    <w:rsid w:val="00BB6A66"/>
    <w:rsid w:val="00BC002E"/>
    <w:rsid w:val="00BC0089"/>
    <w:rsid w:val="00BC21DA"/>
    <w:rsid w:val="00BC2837"/>
    <w:rsid w:val="00BC2ADF"/>
    <w:rsid w:val="00BC2FD9"/>
    <w:rsid w:val="00BC34A3"/>
    <w:rsid w:val="00BC3EFA"/>
    <w:rsid w:val="00BC4165"/>
    <w:rsid w:val="00BC5B3A"/>
    <w:rsid w:val="00BC79F1"/>
    <w:rsid w:val="00BC7B71"/>
    <w:rsid w:val="00BC7EB4"/>
    <w:rsid w:val="00BD08AA"/>
    <w:rsid w:val="00BD08DA"/>
    <w:rsid w:val="00BD09F8"/>
    <w:rsid w:val="00BD0AB1"/>
    <w:rsid w:val="00BD1620"/>
    <w:rsid w:val="00BD17F4"/>
    <w:rsid w:val="00BD26D0"/>
    <w:rsid w:val="00BD3048"/>
    <w:rsid w:val="00BD305C"/>
    <w:rsid w:val="00BD3E35"/>
    <w:rsid w:val="00BD4B16"/>
    <w:rsid w:val="00BD4C60"/>
    <w:rsid w:val="00BD583A"/>
    <w:rsid w:val="00BD688A"/>
    <w:rsid w:val="00BD6DE6"/>
    <w:rsid w:val="00BD780B"/>
    <w:rsid w:val="00BE0BD5"/>
    <w:rsid w:val="00BE0CB1"/>
    <w:rsid w:val="00BE0E0B"/>
    <w:rsid w:val="00BE16A9"/>
    <w:rsid w:val="00BE2587"/>
    <w:rsid w:val="00BE2921"/>
    <w:rsid w:val="00BE2BCC"/>
    <w:rsid w:val="00BE2D04"/>
    <w:rsid w:val="00BE330A"/>
    <w:rsid w:val="00BE426C"/>
    <w:rsid w:val="00BE4582"/>
    <w:rsid w:val="00BE4599"/>
    <w:rsid w:val="00BE4DE0"/>
    <w:rsid w:val="00BE6B9B"/>
    <w:rsid w:val="00BE75D5"/>
    <w:rsid w:val="00BF03EE"/>
    <w:rsid w:val="00BF1D09"/>
    <w:rsid w:val="00BF1E26"/>
    <w:rsid w:val="00BF201C"/>
    <w:rsid w:val="00BF39AE"/>
    <w:rsid w:val="00BF3C49"/>
    <w:rsid w:val="00BF498F"/>
    <w:rsid w:val="00BF4AFB"/>
    <w:rsid w:val="00BF4EA0"/>
    <w:rsid w:val="00BF52C2"/>
    <w:rsid w:val="00BF6036"/>
    <w:rsid w:val="00BF6256"/>
    <w:rsid w:val="00BF7E82"/>
    <w:rsid w:val="00BF7FCD"/>
    <w:rsid w:val="00C005A0"/>
    <w:rsid w:val="00C00A0A"/>
    <w:rsid w:val="00C01AC0"/>
    <w:rsid w:val="00C03724"/>
    <w:rsid w:val="00C04581"/>
    <w:rsid w:val="00C06AC7"/>
    <w:rsid w:val="00C076CF"/>
    <w:rsid w:val="00C10E69"/>
    <w:rsid w:val="00C11D07"/>
    <w:rsid w:val="00C12994"/>
    <w:rsid w:val="00C130EE"/>
    <w:rsid w:val="00C132EF"/>
    <w:rsid w:val="00C137FE"/>
    <w:rsid w:val="00C13EFA"/>
    <w:rsid w:val="00C154C2"/>
    <w:rsid w:val="00C16D81"/>
    <w:rsid w:val="00C16E16"/>
    <w:rsid w:val="00C17C18"/>
    <w:rsid w:val="00C20A44"/>
    <w:rsid w:val="00C20AEB"/>
    <w:rsid w:val="00C20CE3"/>
    <w:rsid w:val="00C21F1D"/>
    <w:rsid w:val="00C22974"/>
    <w:rsid w:val="00C22CA9"/>
    <w:rsid w:val="00C23097"/>
    <w:rsid w:val="00C263C3"/>
    <w:rsid w:val="00C26865"/>
    <w:rsid w:val="00C27D51"/>
    <w:rsid w:val="00C3015A"/>
    <w:rsid w:val="00C306DA"/>
    <w:rsid w:val="00C30AD2"/>
    <w:rsid w:val="00C32581"/>
    <w:rsid w:val="00C32B99"/>
    <w:rsid w:val="00C33642"/>
    <w:rsid w:val="00C35A95"/>
    <w:rsid w:val="00C4014C"/>
    <w:rsid w:val="00C40FF6"/>
    <w:rsid w:val="00C42159"/>
    <w:rsid w:val="00C4372F"/>
    <w:rsid w:val="00C43B69"/>
    <w:rsid w:val="00C43CB1"/>
    <w:rsid w:val="00C43D04"/>
    <w:rsid w:val="00C4433B"/>
    <w:rsid w:val="00C46606"/>
    <w:rsid w:val="00C47996"/>
    <w:rsid w:val="00C503C0"/>
    <w:rsid w:val="00C508B3"/>
    <w:rsid w:val="00C512EB"/>
    <w:rsid w:val="00C513E3"/>
    <w:rsid w:val="00C5327C"/>
    <w:rsid w:val="00C53B02"/>
    <w:rsid w:val="00C551F8"/>
    <w:rsid w:val="00C56592"/>
    <w:rsid w:val="00C56DCA"/>
    <w:rsid w:val="00C57A2B"/>
    <w:rsid w:val="00C60E19"/>
    <w:rsid w:val="00C62262"/>
    <w:rsid w:val="00C62327"/>
    <w:rsid w:val="00C63551"/>
    <w:rsid w:val="00C6502C"/>
    <w:rsid w:val="00C65C4E"/>
    <w:rsid w:val="00C65CE5"/>
    <w:rsid w:val="00C67491"/>
    <w:rsid w:val="00C67BD2"/>
    <w:rsid w:val="00C67D4A"/>
    <w:rsid w:val="00C73890"/>
    <w:rsid w:val="00C73984"/>
    <w:rsid w:val="00C74906"/>
    <w:rsid w:val="00C759A9"/>
    <w:rsid w:val="00C75A7F"/>
    <w:rsid w:val="00C764C5"/>
    <w:rsid w:val="00C779DD"/>
    <w:rsid w:val="00C8013E"/>
    <w:rsid w:val="00C8077D"/>
    <w:rsid w:val="00C815E8"/>
    <w:rsid w:val="00C82551"/>
    <w:rsid w:val="00C826B3"/>
    <w:rsid w:val="00C83894"/>
    <w:rsid w:val="00C84595"/>
    <w:rsid w:val="00C84AD6"/>
    <w:rsid w:val="00C85A45"/>
    <w:rsid w:val="00C86195"/>
    <w:rsid w:val="00C9004A"/>
    <w:rsid w:val="00C906AF"/>
    <w:rsid w:val="00C9143B"/>
    <w:rsid w:val="00C914D9"/>
    <w:rsid w:val="00C921DA"/>
    <w:rsid w:val="00C93FDF"/>
    <w:rsid w:val="00C94174"/>
    <w:rsid w:val="00C95237"/>
    <w:rsid w:val="00C95485"/>
    <w:rsid w:val="00C969FF"/>
    <w:rsid w:val="00CA02B1"/>
    <w:rsid w:val="00CA0BD7"/>
    <w:rsid w:val="00CA1285"/>
    <w:rsid w:val="00CA1569"/>
    <w:rsid w:val="00CA1906"/>
    <w:rsid w:val="00CA1AAD"/>
    <w:rsid w:val="00CA1CF2"/>
    <w:rsid w:val="00CA219A"/>
    <w:rsid w:val="00CA2A94"/>
    <w:rsid w:val="00CA3408"/>
    <w:rsid w:val="00CA354D"/>
    <w:rsid w:val="00CA540E"/>
    <w:rsid w:val="00CA5417"/>
    <w:rsid w:val="00CB0ECA"/>
    <w:rsid w:val="00CB13D1"/>
    <w:rsid w:val="00CB2217"/>
    <w:rsid w:val="00CB2ACA"/>
    <w:rsid w:val="00CB2B18"/>
    <w:rsid w:val="00CB5A70"/>
    <w:rsid w:val="00CB63E9"/>
    <w:rsid w:val="00CB6B54"/>
    <w:rsid w:val="00CB7101"/>
    <w:rsid w:val="00CB7814"/>
    <w:rsid w:val="00CB7864"/>
    <w:rsid w:val="00CB7A44"/>
    <w:rsid w:val="00CB7A5A"/>
    <w:rsid w:val="00CC0736"/>
    <w:rsid w:val="00CC0A59"/>
    <w:rsid w:val="00CC0C1C"/>
    <w:rsid w:val="00CC149B"/>
    <w:rsid w:val="00CC25A9"/>
    <w:rsid w:val="00CC28AE"/>
    <w:rsid w:val="00CC2B47"/>
    <w:rsid w:val="00CC3785"/>
    <w:rsid w:val="00CC4CBD"/>
    <w:rsid w:val="00CC5C49"/>
    <w:rsid w:val="00CC667C"/>
    <w:rsid w:val="00CC727F"/>
    <w:rsid w:val="00CC7B3B"/>
    <w:rsid w:val="00CD130A"/>
    <w:rsid w:val="00CD1412"/>
    <w:rsid w:val="00CD1460"/>
    <w:rsid w:val="00CD2755"/>
    <w:rsid w:val="00CD3AA4"/>
    <w:rsid w:val="00CD4FCF"/>
    <w:rsid w:val="00CD6EF1"/>
    <w:rsid w:val="00CD6FAB"/>
    <w:rsid w:val="00CE0130"/>
    <w:rsid w:val="00CE02D3"/>
    <w:rsid w:val="00CE0E40"/>
    <w:rsid w:val="00CE14E7"/>
    <w:rsid w:val="00CE16C9"/>
    <w:rsid w:val="00CE38B0"/>
    <w:rsid w:val="00CE5418"/>
    <w:rsid w:val="00CE64A1"/>
    <w:rsid w:val="00CE7CD2"/>
    <w:rsid w:val="00CF0740"/>
    <w:rsid w:val="00CF111A"/>
    <w:rsid w:val="00CF23BB"/>
    <w:rsid w:val="00CF2628"/>
    <w:rsid w:val="00CF284C"/>
    <w:rsid w:val="00CF2957"/>
    <w:rsid w:val="00CF312A"/>
    <w:rsid w:val="00CF399F"/>
    <w:rsid w:val="00CF4B09"/>
    <w:rsid w:val="00CF4D5D"/>
    <w:rsid w:val="00CF5023"/>
    <w:rsid w:val="00CF5D57"/>
    <w:rsid w:val="00CF5FF4"/>
    <w:rsid w:val="00CF60B5"/>
    <w:rsid w:val="00CF6DE6"/>
    <w:rsid w:val="00D0174F"/>
    <w:rsid w:val="00D01CFE"/>
    <w:rsid w:val="00D01DA9"/>
    <w:rsid w:val="00D0242E"/>
    <w:rsid w:val="00D02906"/>
    <w:rsid w:val="00D04787"/>
    <w:rsid w:val="00D04BED"/>
    <w:rsid w:val="00D0717D"/>
    <w:rsid w:val="00D075DC"/>
    <w:rsid w:val="00D07986"/>
    <w:rsid w:val="00D07D37"/>
    <w:rsid w:val="00D07EB5"/>
    <w:rsid w:val="00D11B1C"/>
    <w:rsid w:val="00D124B3"/>
    <w:rsid w:val="00D133C8"/>
    <w:rsid w:val="00D13BF9"/>
    <w:rsid w:val="00D14A44"/>
    <w:rsid w:val="00D15762"/>
    <w:rsid w:val="00D1591E"/>
    <w:rsid w:val="00D1682D"/>
    <w:rsid w:val="00D22CB1"/>
    <w:rsid w:val="00D24D8D"/>
    <w:rsid w:val="00D272E5"/>
    <w:rsid w:val="00D272FB"/>
    <w:rsid w:val="00D30241"/>
    <w:rsid w:val="00D31574"/>
    <w:rsid w:val="00D31C5D"/>
    <w:rsid w:val="00D31C74"/>
    <w:rsid w:val="00D320C8"/>
    <w:rsid w:val="00D321D0"/>
    <w:rsid w:val="00D322EA"/>
    <w:rsid w:val="00D32565"/>
    <w:rsid w:val="00D325BA"/>
    <w:rsid w:val="00D33C1D"/>
    <w:rsid w:val="00D34EA2"/>
    <w:rsid w:val="00D35B58"/>
    <w:rsid w:val="00D36219"/>
    <w:rsid w:val="00D36FCA"/>
    <w:rsid w:val="00D37B7B"/>
    <w:rsid w:val="00D37C0D"/>
    <w:rsid w:val="00D41743"/>
    <w:rsid w:val="00D42BE5"/>
    <w:rsid w:val="00D4363B"/>
    <w:rsid w:val="00D44457"/>
    <w:rsid w:val="00D44CE7"/>
    <w:rsid w:val="00D44CF8"/>
    <w:rsid w:val="00D455C0"/>
    <w:rsid w:val="00D45949"/>
    <w:rsid w:val="00D46D85"/>
    <w:rsid w:val="00D4726D"/>
    <w:rsid w:val="00D473A0"/>
    <w:rsid w:val="00D476A7"/>
    <w:rsid w:val="00D51661"/>
    <w:rsid w:val="00D51C3C"/>
    <w:rsid w:val="00D51C7E"/>
    <w:rsid w:val="00D5332A"/>
    <w:rsid w:val="00D53BA6"/>
    <w:rsid w:val="00D53BC3"/>
    <w:rsid w:val="00D55D82"/>
    <w:rsid w:val="00D5652B"/>
    <w:rsid w:val="00D572DA"/>
    <w:rsid w:val="00D577D8"/>
    <w:rsid w:val="00D60337"/>
    <w:rsid w:val="00D6096D"/>
    <w:rsid w:val="00D60BA1"/>
    <w:rsid w:val="00D6394B"/>
    <w:rsid w:val="00D63A1F"/>
    <w:rsid w:val="00D641D4"/>
    <w:rsid w:val="00D64582"/>
    <w:rsid w:val="00D6561C"/>
    <w:rsid w:val="00D65A21"/>
    <w:rsid w:val="00D65D3F"/>
    <w:rsid w:val="00D673B9"/>
    <w:rsid w:val="00D678AC"/>
    <w:rsid w:val="00D67D0E"/>
    <w:rsid w:val="00D70282"/>
    <w:rsid w:val="00D70291"/>
    <w:rsid w:val="00D706E1"/>
    <w:rsid w:val="00D707AE"/>
    <w:rsid w:val="00D70D91"/>
    <w:rsid w:val="00D71469"/>
    <w:rsid w:val="00D72448"/>
    <w:rsid w:val="00D73494"/>
    <w:rsid w:val="00D73A72"/>
    <w:rsid w:val="00D73BE6"/>
    <w:rsid w:val="00D73CDA"/>
    <w:rsid w:val="00D740E6"/>
    <w:rsid w:val="00D74787"/>
    <w:rsid w:val="00D76660"/>
    <w:rsid w:val="00D770EB"/>
    <w:rsid w:val="00D80826"/>
    <w:rsid w:val="00D8293C"/>
    <w:rsid w:val="00D8389B"/>
    <w:rsid w:val="00D847F9"/>
    <w:rsid w:val="00D853FA"/>
    <w:rsid w:val="00D85A1B"/>
    <w:rsid w:val="00D85C0F"/>
    <w:rsid w:val="00D8719B"/>
    <w:rsid w:val="00D91116"/>
    <w:rsid w:val="00D92C25"/>
    <w:rsid w:val="00D92D32"/>
    <w:rsid w:val="00D93225"/>
    <w:rsid w:val="00D949DF"/>
    <w:rsid w:val="00D9507E"/>
    <w:rsid w:val="00D952E6"/>
    <w:rsid w:val="00D952F6"/>
    <w:rsid w:val="00D9744B"/>
    <w:rsid w:val="00DA0A53"/>
    <w:rsid w:val="00DA1BDD"/>
    <w:rsid w:val="00DA1F1F"/>
    <w:rsid w:val="00DA27FD"/>
    <w:rsid w:val="00DA28D2"/>
    <w:rsid w:val="00DA2D4E"/>
    <w:rsid w:val="00DA323E"/>
    <w:rsid w:val="00DB057D"/>
    <w:rsid w:val="00DB0C1F"/>
    <w:rsid w:val="00DB0FC9"/>
    <w:rsid w:val="00DB2047"/>
    <w:rsid w:val="00DB3063"/>
    <w:rsid w:val="00DB30F4"/>
    <w:rsid w:val="00DB49F3"/>
    <w:rsid w:val="00DB4DEE"/>
    <w:rsid w:val="00DB545E"/>
    <w:rsid w:val="00DB5AC3"/>
    <w:rsid w:val="00DB60AE"/>
    <w:rsid w:val="00DB6443"/>
    <w:rsid w:val="00DB7FE1"/>
    <w:rsid w:val="00DC174A"/>
    <w:rsid w:val="00DC1BB0"/>
    <w:rsid w:val="00DC25D5"/>
    <w:rsid w:val="00DC44FC"/>
    <w:rsid w:val="00DC51E1"/>
    <w:rsid w:val="00DC5820"/>
    <w:rsid w:val="00DD1349"/>
    <w:rsid w:val="00DD16BF"/>
    <w:rsid w:val="00DD1D93"/>
    <w:rsid w:val="00DD2198"/>
    <w:rsid w:val="00DD21E0"/>
    <w:rsid w:val="00DD33B7"/>
    <w:rsid w:val="00DD4C1F"/>
    <w:rsid w:val="00DD5329"/>
    <w:rsid w:val="00DD5C62"/>
    <w:rsid w:val="00DD6247"/>
    <w:rsid w:val="00DD7AD4"/>
    <w:rsid w:val="00DE00AD"/>
    <w:rsid w:val="00DE01DD"/>
    <w:rsid w:val="00DE0294"/>
    <w:rsid w:val="00DE0299"/>
    <w:rsid w:val="00DE2C6C"/>
    <w:rsid w:val="00DE2E77"/>
    <w:rsid w:val="00DE404B"/>
    <w:rsid w:val="00DE5228"/>
    <w:rsid w:val="00DE797F"/>
    <w:rsid w:val="00DF00F8"/>
    <w:rsid w:val="00DF1C77"/>
    <w:rsid w:val="00DF391D"/>
    <w:rsid w:val="00DF407A"/>
    <w:rsid w:val="00DF51EA"/>
    <w:rsid w:val="00DF5792"/>
    <w:rsid w:val="00DF5849"/>
    <w:rsid w:val="00E00936"/>
    <w:rsid w:val="00E00A23"/>
    <w:rsid w:val="00E00CC9"/>
    <w:rsid w:val="00E01F77"/>
    <w:rsid w:val="00E02638"/>
    <w:rsid w:val="00E02A8F"/>
    <w:rsid w:val="00E03308"/>
    <w:rsid w:val="00E05D23"/>
    <w:rsid w:val="00E06078"/>
    <w:rsid w:val="00E06EC1"/>
    <w:rsid w:val="00E06F39"/>
    <w:rsid w:val="00E06FCF"/>
    <w:rsid w:val="00E108E3"/>
    <w:rsid w:val="00E10A17"/>
    <w:rsid w:val="00E114E5"/>
    <w:rsid w:val="00E117FB"/>
    <w:rsid w:val="00E1219C"/>
    <w:rsid w:val="00E12286"/>
    <w:rsid w:val="00E135AF"/>
    <w:rsid w:val="00E14804"/>
    <w:rsid w:val="00E16358"/>
    <w:rsid w:val="00E16564"/>
    <w:rsid w:val="00E206D3"/>
    <w:rsid w:val="00E207F9"/>
    <w:rsid w:val="00E20A71"/>
    <w:rsid w:val="00E21160"/>
    <w:rsid w:val="00E21778"/>
    <w:rsid w:val="00E227C0"/>
    <w:rsid w:val="00E22BE0"/>
    <w:rsid w:val="00E22D66"/>
    <w:rsid w:val="00E2337A"/>
    <w:rsid w:val="00E23D0E"/>
    <w:rsid w:val="00E240F3"/>
    <w:rsid w:val="00E24DC6"/>
    <w:rsid w:val="00E270E1"/>
    <w:rsid w:val="00E302CB"/>
    <w:rsid w:val="00E31330"/>
    <w:rsid w:val="00E3210C"/>
    <w:rsid w:val="00E33397"/>
    <w:rsid w:val="00E33A31"/>
    <w:rsid w:val="00E34633"/>
    <w:rsid w:val="00E3464E"/>
    <w:rsid w:val="00E35BC7"/>
    <w:rsid w:val="00E35BFF"/>
    <w:rsid w:val="00E36858"/>
    <w:rsid w:val="00E36932"/>
    <w:rsid w:val="00E373D3"/>
    <w:rsid w:val="00E377F8"/>
    <w:rsid w:val="00E40000"/>
    <w:rsid w:val="00E40390"/>
    <w:rsid w:val="00E40476"/>
    <w:rsid w:val="00E420DC"/>
    <w:rsid w:val="00E42C6A"/>
    <w:rsid w:val="00E43581"/>
    <w:rsid w:val="00E43D84"/>
    <w:rsid w:val="00E449EE"/>
    <w:rsid w:val="00E44A99"/>
    <w:rsid w:val="00E44CC4"/>
    <w:rsid w:val="00E45C8F"/>
    <w:rsid w:val="00E45F16"/>
    <w:rsid w:val="00E47812"/>
    <w:rsid w:val="00E50929"/>
    <w:rsid w:val="00E51122"/>
    <w:rsid w:val="00E541F4"/>
    <w:rsid w:val="00E54651"/>
    <w:rsid w:val="00E55FB1"/>
    <w:rsid w:val="00E5653B"/>
    <w:rsid w:val="00E56563"/>
    <w:rsid w:val="00E576F0"/>
    <w:rsid w:val="00E57A97"/>
    <w:rsid w:val="00E606C9"/>
    <w:rsid w:val="00E60AF2"/>
    <w:rsid w:val="00E63D2A"/>
    <w:rsid w:val="00E64721"/>
    <w:rsid w:val="00E64D83"/>
    <w:rsid w:val="00E6549B"/>
    <w:rsid w:val="00E65D42"/>
    <w:rsid w:val="00E67220"/>
    <w:rsid w:val="00E67C93"/>
    <w:rsid w:val="00E709C1"/>
    <w:rsid w:val="00E70A47"/>
    <w:rsid w:val="00E70C6F"/>
    <w:rsid w:val="00E710D9"/>
    <w:rsid w:val="00E7118F"/>
    <w:rsid w:val="00E71A92"/>
    <w:rsid w:val="00E71DCA"/>
    <w:rsid w:val="00E72B87"/>
    <w:rsid w:val="00E732F5"/>
    <w:rsid w:val="00E73989"/>
    <w:rsid w:val="00E75102"/>
    <w:rsid w:val="00E77E62"/>
    <w:rsid w:val="00E80831"/>
    <w:rsid w:val="00E80BDE"/>
    <w:rsid w:val="00E813EE"/>
    <w:rsid w:val="00E816A8"/>
    <w:rsid w:val="00E81712"/>
    <w:rsid w:val="00E8402B"/>
    <w:rsid w:val="00E84F98"/>
    <w:rsid w:val="00E8573B"/>
    <w:rsid w:val="00E85833"/>
    <w:rsid w:val="00E85E28"/>
    <w:rsid w:val="00E8674B"/>
    <w:rsid w:val="00E87350"/>
    <w:rsid w:val="00E879DE"/>
    <w:rsid w:val="00E9075C"/>
    <w:rsid w:val="00E93178"/>
    <w:rsid w:val="00E937BD"/>
    <w:rsid w:val="00E95F08"/>
    <w:rsid w:val="00E96BE3"/>
    <w:rsid w:val="00E96DA8"/>
    <w:rsid w:val="00E96E86"/>
    <w:rsid w:val="00EA027D"/>
    <w:rsid w:val="00EA0D2C"/>
    <w:rsid w:val="00EA0F5F"/>
    <w:rsid w:val="00EA14B7"/>
    <w:rsid w:val="00EA1D80"/>
    <w:rsid w:val="00EA23E7"/>
    <w:rsid w:val="00EA3598"/>
    <w:rsid w:val="00EA4035"/>
    <w:rsid w:val="00EA46E5"/>
    <w:rsid w:val="00EA4963"/>
    <w:rsid w:val="00EA4F71"/>
    <w:rsid w:val="00EB09CD"/>
    <w:rsid w:val="00EB14AC"/>
    <w:rsid w:val="00EB1B45"/>
    <w:rsid w:val="00EB2844"/>
    <w:rsid w:val="00EB371E"/>
    <w:rsid w:val="00EB44C4"/>
    <w:rsid w:val="00EB4B20"/>
    <w:rsid w:val="00EB5180"/>
    <w:rsid w:val="00EB51CC"/>
    <w:rsid w:val="00EC0454"/>
    <w:rsid w:val="00EC102E"/>
    <w:rsid w:val="00EC1AB3"/>
    <w:rsid w:val="00EC211E"/>
    <w:rsid w:val="00EC2150"/>
    <w:rsid w:val="00EC2C17"/>
    <w:rsid w:val="00EC546D"/>
    <w:rsid w:val="00EC5654"/>
    <w:rsid w:val="00EC5794"/>
    <w:rsid w:val="00EC5F29"/>
    <w:rsid w:val="00EC724F"/>
    <w:rsid w:val="00ED04F7"/>
    <w:rsid w:val="00ED0B8C"/>
    <w:rsid w:val="00ED1948"/>
    <w:rsid w:val="00ED1B6B"/>
    <w:rsid w:val="00ED2284"/>
    <w:rsid w:val="00ED27FE"/>
    <w:rsid w:val="00ED340D"/>
    <w:rsid w:val="00ED36A4"/>
    <w:rsid w:val="00ED51BC"/>
    <w:rsid w:val="00ED75E6"/>
    <w:rsid w:val="00EE0070"/>
    <w:rsid w:val="00EE085A"/>
    <w:rsid w:val="00EE1B3E"/>
    <w:rsid w:val="00EE1C36"/>
    <w:rsid w:val="00EE38B8"/>
    <w:rsid w:val="00EE3A35"/>
    <w:rsid w:val="00EE3E08"/>
    <w:rsid w:val="00EE42C7"/>
    <w:rsid w:val="00EE4491"/>
    <w:rsid w:val="00EE4DB4"/>
    <w:rsid w:val="00EE5006"/>
    <w:rsid w:val="00EE5472"/>
    <w:rsid w:val="00EE5AAA"/>
    <w:rsid w:val="00EE666E"/>
    <w:rsid w:val="00EE6958"/>
    <w:rsid w:val="00EE727E"/>
    <w:rsid w:val="00EE7298"/>
    <w:rsid w:val="00EE78E2"/>
    <w:rsid w:val="00EF05CD"/>
    <w:rsid w:val="00EF0EC2"/>
    <w:rsid w:val="00EF21E2"/>
    <w:rsid w:val="00EF66A8"/>
    <w:rsid w:val="00EF67EA"/>
    <w:rsid w:val="00EF71E0"/>
    <w:rsid w:val="00EF72C7"/>
    <w:rsid w:val="00EF7B14"/>
    <w:rsid w:val="00F00B82"/>
    <w:rsid w:val="00F02997"/>
    <w:rsid w:val="00F02A5B"/>
    <w:rsid w:val="00F03E69"/>
    <w:rsid w:val="00F0458E"/>
    <w:rsid w:val="00F051B8"/>
    <w:rsid w:val="00F05DAC"/>
    <w:rsid w:val="00F06846"/>
    <w:rsid w:val="00F069E1"/>
    <w:rsid w:val="00F06E13"/>
    <w:rsid w:val="00F07F49"/>
    <w:rsid w:val="00F10294"/>
    <w:rsid w:val="00F10531"/>
    <w:rsid w:val="00F10E12"/>
    <w:rsid w:val="00F1144B"/>
    <w:rsid w:val="00F11A1E"/>
    <w:rsid w:val="00F11DC2"/>
    <w:rsid w:val="00F128A3"/>
    <w:rsid w:val="00F12919"/>
    <w:rsid w:val="00F13419"/>
    <w:rsid w:val="00F13667"/>
    <w:rsid w:val="00F13992"/>
    <w:rsid w:val="00F152F3"/>
    <w:rsid w:val="00F158C9"/>
    <w:rsid w:val="00F159FD"/>
    <w:rsid w:val="00F163AF"/>
    <w:rsid w:val="00F17339"/>
    <w:rsid w:val="00F179D3"/>
    <w:rsid w:val="00F17AB4"/>
    <w:rsid w:val="00F20B92"/>
    <w:rsid w:val="00F21C79"/>
    <w:rsid w:val="00F22310"/>
    <w:rsid w:val="00F2305A"/>
    <w:rsid w:val="00F23085"/>
    <w:rsid w:val="00F23212"/>
    <w:rsid w:val="00F2497F"/>
    <w:rsid w:val="00F25014"/>
    <w:rsid w:val="00F25516"/>
    <w:rsid w:val="00F26431"/>
    <w:rsid w:val="00F26DBC"/>
    <w:rsid w:val="00F27BE3"/>
    <w:rsid w:val="00F307C6"/>
    <w:rsid w:val="00F31A5D"/>
    <w:rsid w:val="00F31E13"/>
    <w:rsid w:val="00F3342B"/>
    <w:rsid w:val="00F334A1"/>
    <w:rsid w:val="00F3521A"/>
    <w:rsid w:val="00F36165"/>
    <w:rsid w:val="00F3737D"/>
    <w:rsid w:val="00F3766B"/>
    <w:rsid w:val="00F40705"/>
    <w:rsid w:val="00F40E13"/>
    <w:rsid w:val="00F41DC0"/>
    <w:rsid w:val="00F42CA7"/>
    <w:rsid w:val="00F42E89"/>
    <w:rsid w:val="00F43662"/>
    <w:rsid w:val="00F43916"/>
    <w:rsid w:val="00F443A6"/>
    <w:rsid w:val="00F4548E"/>
    <w:rsid w:val="00F45573"/>
    <w:rsid w:val="00F4640E"/>
    <w:rsid w:val="00F466AB"/>
    <w:rsid w:val="00F47237"/>
    <w:rsid w:val="00F47FD3"/>
    <w:rsid w:val="00F50B12"/>
    <w:rsid w:val="00F539A8"/>
    <w:rsid w:val="00F54310"/>
    <w:rsid w:val="00F55085"/>
    <w:rsid w:val="00F572F3"/>
    <w:rsid w:val="00F614E3"/>
    <w:rsid w:val="00F6247C"/>
    <w:rsid w:val="00F63140"/>
    <w:rsid w:val="00F631FA"/>
    <w:rsid w:val="00F63D3D"/>
    <w:rsid w:val="00F63EA1"/>
    <w:rsid w:val="00F647FB"/>
    <w:rsid w:val="00F64D9B"/>
    <w:rsid w:val="00F66875"/>
    <w:rsid w:val="00F66F51"/>
    <w:rsid w:val="00F70972"/>
    <w:rsid w:val="00F71944"/>
    <w:rsid w:val="00F71EE0"/>
    <w:rsid w:val="00F71F00"/>
    <w:rsid w:val="00F73279"/>
    <w:rsid w:val="00F73963"/>
    <w:rsid w:val="00F7652D"/>
    <w:rsid w:val="00F8278D"/>
    <w:rsid w:val="00F835D5"/>
    <w:rsid w:val="00F83954"/>
    <w:rsid w:val="00F83DD5"/>
    <w:rsid w:val="00F84374"/>
    <w:rsid w:val="00F858D8"/>
    <w:rsid w:val="00F85ED1"/>
    <w:rsid w:val="00F871DD"/>
    <w:rsid w:val="00F90290"/>
    <w:rsid w:val="00F910D8"/>
    <w:rsid w:val="00F911BB"/>
    <w:rsid w:val="00F91258"/>
    <w:rsid w:val="00F927D9"/>
    <w:rsid w:val="00F95440"/>
    <w:rsid w:val="00F95590"/>
    <w:rsid w:val="00F974FD"/>
    <w:rsid w:val="00FA37D5"/>
    <w:rsid w:val="00FA43F4"/>
    <w:rsid w:val="00FA69D9"/>
    <w:rsid w:val="00FA6A12"/>
    <w:rsid w:val="00FB08CF"/>
    <w:rsid w:val="00FB1865"/>
    <w:rsid w:val="00FB1A0E"/>
    <w:rsid w:val="00FB201A"/>
    <w:rsid w:val="00FB2D6F"/>
    <w:rsid w:val="00FB3F4C"/>
    <w:rsid w:val="00FB3FA6"/>
    <w:rsid w:val="00FB41DD"/>
    <w:rsid w:val="00FB4DD0"/>
    <w:rsid w:val="00FB553A"/>
    <w:rsid w:val="00FB5D80"/>
    <w:rsid w:val="00FB5FD1"/>
    <w:rsid w:val="00FB5FD9"/>
    <w:rsid w:val="00FB6EB2"/>
    <w:rsid w:val="00FB7CB7"/>
    <w:rsid w:val="00FC0E67"/>
    <w:rsid w:val="00FC4574"/>
    <w:rsid w:val="00FC472D"/>
    <w:rsid w:val="00FC6556"/>
    <w:rsid w:val="00FC6CC0"/>
    <w:rsid w:val="00FC7A67"/>
    <w:rsid w:val="00FC7EEB"/>
    <w:rsid w:val="00FD2152"/>
    <w:rsid w:val="00FD35AC"/>
    <w:rsid w:val="00FD5F93"/>
    <w:rsid w:val="00FD6AC5"/>
    <w:rsid w:val="00FD73A0"/>
    <w:rsid w:val="00FD7563"/>
    <w:rsid w:val="00FD7D85"/>
    <w:rsid w:val="00FD7DEC"/>
    <w:rsid w:val="00FE0872"/>
    <w:rsid w:val="00FE196B"/>
    <w:rsid w:val="00FE2A2B"/>
    <w:rsid w:val="00FE4023"/>
    <w:rsid w:val="00FE4051"/>
    <w:rsid w:val="00FE4376"/>
    <w:rsid w:val="00FE47BA"/>
    <w:rsid w:val="00FE61DC"/>
    <w:rsid w:val="00FE69B1"/>
    <w:rsid w:val="00FE77EA"/>
    <w:rsid w:val="00FE7B7B"/>
    <w:rsid w:val="00FE7D4D"/>
    <w:rsid w:val="00FF0976"/>
    <w:rsid w:val="00FF1E8C"/>
    <w:rsid w:val="00FF2B3B"/>
    <w:rsid w:val="00FF49F3"/>
    <w:rsid w:val="00FF4FC2"/>
    <w:rsid w:val="00FF5AC6"/>
    <w:rsid w:val="00FF5F15"/>
    <w:rsid w:val="00FF6F8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5C2ACCF1"/>
  <w15:docId w15:val="{4B4D2363-2B00-4EBE-86D6-D933F05B5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566"/>
  </w:style>
  <w:style w:type="paragraph" w:styleId="Heading1">
    <w:name w:val="heading 1"/>
    <w:basedOn w:val="ListParagraph"/>
    <w:next w:val="Normal"/>
    <w:link w:val="Heading1Char"/>
    <w:uiPriority w:val="9"/>
    <w:qFormat/>
    <w:rsid w:val="001C7B17"/>
    <w:pPr>
      <w:numPr>
        <w:numId w:val="3"/>
      </w:numPr>
      <w:autoSpaceDE w:val="0"/>
      <w:autoSpaceDN w:val="0"/>
      <w:adjustRightInd w:val="0"/>
      <w:spacing w:after="0"/>
      <w:ind w:left="567" w:hanging="567"/>
      <w:outlineLvl w:val="0"/>
    </w:pPr>
    <w:rPr>
      <w:rFonts w:ascii="Helvetica" w:hAnsi="Helvetica" w:cs="Helvetica"/>
      <w:b/>
      <w:sz w:val="24"/>
      <w:szCs w:val="24"/>
    </w:rPr>
  </w:style>
  <w:style w:type="paragraph" w:styleId="Heading2">
    <w:name w:val="heading 2"/>
    <w:basedOn w:val="ListParagraph"/>
    <w:link w:val="Heading2Char"/>
    <w:uiPriority w:val="9"/>
    <w:qFormat/>
    <w:rsid w:val="00951825"/>
    <w:pPr>
      <w:numPr>
        <w:ilvl w:val="1"/>
        <w:numId w:val="4"/>
      </w:numPr>
      <w:spacing w:after="0"/>
      <w:ind w:left="567" w:hanging="567"/>
      <w:outlineLvl w:val="1"/>
    </w:pPr>
    <w:rPr>
      <w:rFonts w:ascii="Helvetica" w:hAnsi="Helvetica" w:cs="Arial"/>
      <w:b/>
    </w:rPr>
  </w:style>
  <w:style w:type="paragraph" w:styleId="Heading3">
    <w:name w:val="heading 3"/>
    <w:basedOn w:val="ListParagraph"/>
    <w:next w:val="Normal"/>
    <w:link w:val="Heading3Char"/>
    <w:uiPriority w:val="9"/>
    <w:unhideWhenUsed/>
    <w:qFormat/>
    <w:rsid w:val="00951825"/>
    <w:pPr>
      <w:numPr>
        <w:ilvl w:val="2"/>
        <w:numId w:val="4"/>
      </w:numPr>
      <w:spacing w:after="0"/>
      <w:ind w:left="567" w:hanging="567"/>
      <w:outlineLvl w:val="2"/>
    </w:pPr>
    <w:rPr>
      <w:rFonts w:ascii="Helvetica" w:hAnsi="Helvetica" w:cs="Arial"/>
      <w:b/>
      <w:sz w:val="20"/>
    </w:rPr>
  </w:style>
  <w:style w:type="paragraph" w:styleId="Heading4">
    <w:name w:val="heading 4"/>
    <w:basedOn w:val="Normal"/>
    <w:next w:val="Normal"/>
    <w:link w:val="Heading4Char"/>
    <w:uiPriority w:val="9"/>
    <w:semiHidden/>
    <w:unhideWhenUsed/>
    <w:qFormat/>
    <w:rsid w:val="00EA403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D1A"/>
    <w:rPr>
      <w:rFonts w:ascii="Tahoma" w:hAnsi="Tahoma" w:cs="Tahoma"/>
      <w:sz w:val="16"/>
      <w:szCs w:val="16"/>
    </w:rPr>
  </w:style>
  <w:style w:type="paragraph" w:styleId="ListParagraph">
    <w:name w:val="List Paragraph"/>
    <w:basedOn w:val="Normal"/>
    <w:uiPriority w:val="34"/>
    <w:qFormat/>
    <w:rsid w:val="00611D1A"/>
    <w:pPr>
      <w:ind w:left="720"/>
      <w:contextualSpacing/>
    </w:pPr>
  </w:style>
  <w:style w:type="table" w:styleId="TableGrid">
    <w:name w:val="Table Grid"/>
    <w:basedOn w:val="TableNormal"/>
    <w:uiPriority w:val="39"/>
    <w:rsid w:val="00E96E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D0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106"/>
  </w:style>
  <w:style w:type="paragraph" w:styleId="Footer">
    <w:name w:val="footer"/>
    <w:basedOn w:val="Normal"/>
    <w:link w:val="FooterChar"/>
    <w:uiPriority w:val="99"/>
    <w:unhideWhenUsed/>
    <w:rsid w:val="007D0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106"/>
  </w:style>
  <w:style w:type="character" w:customStyle="1" w:styleId="Heading2Char">
    <w:name w:val="Heading 2 Char"/>
    <w:basedOn w:val="DefaultParagraphFont"/>
    <w:link w:val="Heading2"/>
    <w:uiPriority w:val="9"/>
    <w:rsid w:val="00951825"/>
    <w:rPr>
      <w:rFonts w:ascii="Helvetica" w:hAnsi="Helvetica" w:cs="Arial"/>
      <w:b/>
    </w:rPr>
  </w:style>
  <w:style w:type="character" w:styleId="Strong">
    <w:name w:val="Strong"/>
    <w:basedOn w:val="DefaultParagraphFont"/>
    <w:uiPriority w:val="22"/>
    <w:qFormat/>
    <w:rsid w:val="00553F26"/>
    <w:rPr>
      <w:b/>
      <w:bCs/>
    </w:rPr>
  </w:style>
  <w:style w:type="character" w:styleId="Hyperlink">
    <w:name w:val="Hyperlink"/>
    <w:basedOn w:val="DefaultParagraphFont"/>
    <w:uiPriority w:val="99"/>
    <w:unhideWhenUsed/>
    <w:rsid w:val="00E56563"/>
    <w:rPr>
      <w:color w:val="0000FF" w:themeColor="hyperlink"/>
      <w:u w:val="single"/>
    </w:rPr>
  </w:style>
  <w:style w:type="character" w:customStyle="1" w:styleId="Heading1Char">
    <w:name w:val="Heading 1 Char"/>
    <w:basedOn w:val="DefaultParagraphFont"/>
    <w:link w:val="Heading1"/>
    <w:uiPriority w:val="9"/>
    <w:rsid w:val="001C7B17"/>
    <w:rPr>
      <w:rFonts w:ascii="Helvetica" w:hAnsi="Helvetica" w:cs="Helvetica"/>
      <w:b/>
      <w:sz w:val="24"/>
      <w:szCs w:val="24"/>
    </w:rPr>
  </w:style>
  <w:style w:type="paragraph" w:styleId="TOCHeading">
    <w:name w:val="TOC Heading"/>
    <w:basedOn w:val="Heading1"/>
    <w:next w:val="Normal"/>
    <w:uiPriority w:val="39"/>
    <w:unhideWhenUsed/>
    <w:qFormat/>
    <w:rsid w:val="00E373D3"/>
    <w:pPr>
      <w:outlineLvl w:val="9"/>
    </w:pPr>
    <w:rPr>
      <w:lang w:val="en-US" w:eastAsia="ja-JP"/>
    </w:rPr>
  </w:style>
  <w:style w:type="paragraph" w:styleId="TOC1">
    <w:name w:val="toc 1"/>
    <w:basedOn w:val="Normal"/>
    <w:next w:val="Normal"/>
    <w:autoRedefine/>
    <w:uiPriority w:val="39"/>
    <w:unhideWhenUsed/>
    <w:rsid w:val="00E373D3"/>
    <w:pPr>
      <w:spacing w:after="100"/>
    </w:pPr>
  </w:style>
  <w:style w:type="character" w:customStyle="1" w:styleId="categorydata">
    <w:name w:val="category_data"/>
    <w:basedOn w:val="DefaultParagraphFont"/>
    <w:rsid w:val="00B86BF3"/>
  </w:style>
  <w:style w:type="paragraph" w:styleId="NormalWeb">
    <w:name w:val="Normal (Web)"/>
    <w:basedOn w:val="Normal"/>
    <w:uiPriority w:val="99"/>
    <w:unhideWhenUsed/>
    <w:rsid w:val="00B86BF3"/>
    <w:pPr>
      <w:spacing w:before="100" w:beforeAutospacing="1" w:after="100" w:afterAutospacing="1" w:line="240" w:lineRule="auto"/>
    </w:pPr>
    <w:rPr>
      <w:rFonts w:ascii="Verdana" w:eastAsia="Times New Roman" w:hAnsi="Verdana" w:cs="Times New Roman"/>
      <w:sz w:val="16"/>
      <w:szCs w:val="16"/>
    </w:rPr>
  </w:style>
  <w:style w:type="paragraph" w:customStyle="1" w:styleId="Normal1">
    <w:name w:val="Normal1"/>
    <w:basedOn w:val="Normal"/>
    <w:rsid w:val="00755738"/>
    <w:pPr>
      <w:spacing w:after="0" w:line="240" w:lineRule="auto"/>
    </w:pPr>
    <w:rPr>
      <w:rFonts w:ascii="Cambria" w:eastAsia="Times New Roman" w:hAnsi="Cambria" w:cs="Times New Roman"/>
      <w:sz w:val="24"/>
      <w:szCs w:val="24"/>
    </w:rPr>
  </w:style>
  <w:style w:type="character" w:customStyle="1" w:styleId="normalchar1">
    <w:name w:val="normal__char1"/>
    <w:basedOn w:val="DefaultParagraphFont"/>
    <w:rsid w:val="00755738"/>
    <w:rPr>
      <w:rFonts w:ascii="Cambria" w:hAnsi="Cambria" w:hint="default"/>
      <w:sz w:val="24"/>
      <w:szCs w:val="24"/>
    </w:rPr>
  </w:style>
  <w:style w:type="paragraph" w:customStyle="1" w:styleId="list0020paragraph">
    <w:name w:val="list_0020paragraph"/>
    <w:basedOn w:val="Normal"/>
    <w:rsid w:val="000A10FF"/>
    <w:pPr>
      <w:spacing w:line="260" w:lineRule="atLeast"/>
      <w:ind w:left="720"/>
    </w:pPr>
    <w:rPr>
      <w:rFonts w:ascii="Cambria" w:eastAsia="Times New Roman" w:hAnsi="Cambria" w:cs="Times New Roman"/>
    </w:rPr>
  </w:style>
  <w:style w:type="character" w:customStyle="1" w:styleId="list0020paragraphchar1">
    <w:name w:val="list_0020paragraph__char1"/>
    <w:basedOn w:val="DefaultParagraphFont"/>
    <w:rsid w:val="000A10FF"/>
    <w:rPr>
      <w:rFonts w:ascii="Cambria" w:hAnsi="Cambria" w:hint="default"/>
      <w:sz w:val="22"/>
      <w:szCs w:val="22"/>
    </w:rPr>
  </w:style>
  <w:style w:type="character" w:styleId="CommentReference">
    <w:name w:val="annotation reference"/>
    <w:basedOn w:val="DefaultParagraphFont"/>
    <w:uiPriority w:val="99"/>
    <w:semiHidden/>
    <w:unhideWhenUsed/>
    <w:rsid w:val="00B07F0F"/>
    <w:rPr>
      <w:sz w:val="16"/>
      <w:szCs w:val="16"/>
    </w:rPr>
  </w:style>
  <w:style w:type="paragraph" w:styleId="CommentText">
    <w:name w:val="annotation text"/>
    <w:basedOn w:val="Normal"/>
    <w:link w:val="CommentTextChar"/>
    <w:uiPriority w:val="99"/>
    <w:semiHidden/>
    <w:unhideWhenUsed/>
    <w:rsid w:val="00B07F0F"/>
    <w:pPr>
      <w:spacing w:line="240" w:lineRule="auto"/>
    </w:pPr>
    <w:rPr>
      <w:sz w:val="20"/>
      <w:szCs w:val="20"/>
    </w:rPr>
  </w:style>
  <w:style w:type="character" w:customStyle="1" w:styleId="CommentTextChar">
    <w:name w:val="Comment Text Char"/>
    <w:basedOn w:val="DefaultParagraphFont"/>
    <w:link w:val="CommentText"/>
    <w:uiPriority w:val="99"/>
    <w:semiHidden/>
    <w:rsid w:val="00B07F0F"/>
    <w:rPr>
      <w:sz w:val="20"/>
      <w:szCs w:val="20"/>
    </w:rPr>
  </w:style>
  <w:style w:type="paragraph" w:styleId="CommentSubject">
    <w:name w:val="annotation subject"/>
    <w:basedOn w:val="CommentText"/>
    <w:next w:val="CommentText"/>
    <w:link w:val="CommentSubjectChar"/>
    <w:uiPriority w:val="99"/>
    <w:semiHidden/>
    <w:unhideWhenUsed/>
    <w:rsid w:val="00B07F0F"/>
    <w:rPr>
      <w:b/>
      <w:bCs/>
    </w:rPr>
  </w:style>
  <w:style w:type="character" w:customStyle="1" w:styleId="CommentSubjectChar">
    <w:name w:val="Comment Subject Char"/>
    <w:basedOn w:val="CommentTextChar"/>
    <w:link w:val="CommentSubject"/>
    <w:uiPriority w:val="99"/>
    <w:semiHidden/>
    <w:rsid w:val="00B07F0F"/>
    <w:rPr>
      <w:b/>
      <w:bCs/>
      <w:sz w:val="20"/>
      <w:szCs w:val="20"/>
    </w:rPr>
  </w:style>
  <w:style w:type="paragraph" w:styleId="FootnoteText">
    <w:name w:val="footnote text"/>
    <w:basedOn w:val="Normal"/>
    <w:link w:val="FootnoteTextChar"/>
    <w:uiPriority w:val="99"/>
    <w:semiHidden/>
    <w:unhideWhenUsed/>
    <w:rsid w:val="008078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826"/>
    <w:rPr>
      <w:sz w:val="20"/>
      <w:szCs w:val="20"/>
    </w:rPr>
  </w:style>
  <w:style w:type="character" w:styleId="FootnoteReference">
    <w:name w:val="footnote reference"/>
    <w:basedOn w:val="DefaultParagraphFont"/>
    <w:uiPriority w:val="99"/>
    <w:semiHidden/>
    <w:unhideWhenUsed/>
    <w:rsid w:val="00807826"/>
    <w:rPr>
      <w:vertAlign w:val="superscript"/>
    </w:rPr>
  </w:style>
  <w:style w:type="table" w:customStyle="1" w:styleId="TableGrid31">
    <w:name w:val="Table Grid31"/>
    <w:basedOn w:val="TableNormal"/>
    <w:next w:val="TableGrid"/>
    <w:uiPriority w:val="59"/>
    <w:rsid w:val="00E207F9"/>
    <w:pPr>
      <w:spacing w:after="0" w:line="240" w:lineRule="auto"/>
    </w:pPr>
    <w:rPr>
      <w:rFonts w:eastAsia="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21778"/>
    <w:pPr>
      <w:spacing w:after="0" w:line="240" w:lineRule="auto"/>
    </w:pPr>
    <w:rPr>
      <w:rFonts w:eastAsia="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D640C"/>
    <w:pPr>
      <w:spacing w:after="0" w:line="240" w:lineRule="auto"/>
    </w:pPr>
    <w:rPr>
      <w:rFonts w:eastAsia="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D640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semiHidden/>
    <w:rsid w:val="00EA4035"/>
    <w:rPr>
      <w:rFonts w:asciiTheme="majorHAnsi" w:eastAsiaTheme="majorEastAsia" w:hAnsiTheme="majorHAnsi" w:cstheme="majorBidi"/>
      <w:i/>
      <w:iCs/>
      <w:color w:val="365F91" w:themeColor="accent1" w:themeShade="BF"/>
    </w:rPr>
  </w:style>
  <w:style w:type="character" w:customStyle="1" w:styleId="apple-converted-space">
    <w:name w:val="apple-converted-space"/>
    <w:basedOn w:val="DefaultParagraphFont"/>
    <w:rsid w:val="00EA4035"/>
  </w:style>
  <w:style w:type="table" w:customStyle="1" w:styleId="PlainTable21">
    <w:name w:val="Plain Table 21"/>
    <w:basedOn w:val="TableNormal"/>
    <w:uiPriority w:val="99"/>
    <w:rsid w:val="00EA40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59"/>
    <w:rsid w:val="00EA403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A403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A4035"/>
    <w:pPr>
      <w:spacing w:after="0" w:line="240" w:lineRule="auto"/>
    </w:pPr>
    <w:rPr>
      <w:lang w:val="en-US" w:eastAsia="en-US"/>
    </w:rPr>
  </w:style>
  <w:style w:type="character" w:customStyle="1" w:styleId="NoSpacingChar">
    <w:name w:val="No Spacing Char"/>
    <w:basedOn w:val="DefaultParagraphFont"/>
    <w:link w:val="NoSpacing"/>
    <w:uiPriority w:val="1"/>
    <w:rsid w:val="00EA4035"/>
    <w:rPr>
      <w:lang w:val="en-US" w:eastAsia="en-US"/>
    </w:rPr>
  </w:style>
  <w:style w:type="table" w:customStyle="1" w:styleId="TableGrid3">
    <w:name w:val="Table Grid3"/>
    <w:basedOn w:val="TableNormal"/>
    <w:next w:val="TableGrid"/>
    <w:uiPriority w:val="59"/>
    <w:rsid w:val="007A39E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021423"/>
    <w:pPr>
      <w:spacing w:after="0" w:line="240" w:lineRule="auto"/>
    </w:pPr>
    <w:rPr>
      <w:rFonts w:ascii="Calibri" w:hAnsi="Calibri" w:cs="Times New Roman"/>
    </w:rPr>
  </w:style>
  <w:style w:type="table" w:customStyle="1" w:styleId="TableGrid2">
    <w:name w:val="Table Grid2"/>
    <w:basedOn w:val="TableNormal"/>
    <w:next w:val="TableGrid"/>
    <w:uiPriority w:val="59"/>
    <w:rsid w:val="0002142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rsid w:val="00BE4599"/>
    <w:pPr>
      <w:spacing w:after="0" w:line="240" w:lineRule="auto"/>
    </w:pPr>
    <w:rPr>
      <w:rFonts w:ascii="Arial" w:hAnsi="Arial" w:cs="Arial"/>
      <w:lang w:val="en-US" w:eastAsia="ja-JP"/>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eGrid6">
    <w:name w:val="Table Grid6"/>
    <w:basedOn w:val="TableNormal"/>
    <w:next w:val="TableGrid"/>
    <w:uiPriority w:val="59"/>
    <w:rsid w:val="00F051B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051B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051B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051B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051B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051B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
    <w:name w:val="List Table 3 - Accent 61"/>
    <w:basedOn w:val="TableNormal"/>
    <w:uiPriority w:val="48"/>
    <w:rsid w:val="00F051B8"/>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spxinspectedextr">
    <w:name w:val="spx_inspected_extr"/>
    <w:basedOn w:val="Normal"/>
    <w:rsid w:val="00CF26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ndlinks">
    <w:name w:val="landlinks"/>
    <w:basedOn w:val="DefaultParagraphFont"/>
    <w:rsid w:val="00CF2628"/>
  </w:style>
  <w:style w:type="paragraph" w:customStyle="1" w:styleId="Default">
    <w:name w:val="Default"/>
    <w:rsid w:val="003F388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Emphasis">
    <w:name w:val="Emphasis"/>
    <w:basedOn w:val="DefaultParagraphFont"/>
    <w:uiPriority w:val="20"/>
    <w:qFormat/>
    <w:rsid w:val="009005CA"/>
    <w:rPr>
      <w:i/>
      <w:iCs/>
    </w:rPr>
  </w:style>
  <w:style w:type="paragraph" w:styleId="TOC2">
    <w:name w:val="toc 2"/>
    <w:basedOn w:val="Normal"/>
    <w:next w:val="Normal"/>
    <w:autoRedefine/>
    <w:uiPriority w:val="39"/>
    <w:unhideWhenUsed/>
    <w:rsid w:val="006032B5"/>
    <w:pPr>
      <w:spacing w:after="100"/>
      <w:ind w:left="220"/>
    </w:pPr>
  </w:style>
  <w:style w:type="character" w:customStyle="1" w:styleId="Heading3Char">
    <w:name w:val="Heading 3 Char"/>
    <w:basedOn w:val="DefaultParagraphFont"/>
    <w:link w:val="Heading3"/>
    <w:uiPriority w:val="9"/>
    <w:rsid w:val="00951825"/>
    <w:rPr>
      <w:rFonts w:ascii="Helvetica" w:hAnsi="Helvetica" w:cs="Arial"/>
      <w:b/>
      <w:sz w:val="20"/>
    </w:rPr>
  </w:style>
  <w:style w:type="paragraph" w:styleId="TOC3">
    <w:name w:val="toc 3"/>
    <w:basedOn w:val="Normal"/>
    <w:next w:val="Normal"/>
    <w:autoRedefine/>
    <w:uiPriority w:val="39"/>
    <w:unhideWhenUsed/>
    <w:rsid w:val="00B93794"/>
    <w:pPr>
      <w:tabs>
        <w:tab w:val="left" w:pos="1134"/>
        <w:tab w:val="right" w:leader="dot" w:pos="9016"/>
      </w:tabs>
      <w:spacing w:after="100"/>
      <w:ind w:left="440"/>
    </w:pPr>
  </w:style>
  <w:style w:type="paragraph" w:customStyle="1" w:styleId="pa1">
    <w:name w:val="pa1"/>
    <w:basedOn w:val="Normal"/>
    <w:rsid w:val="00BE4DE0"/>
    <w:pPr>
      <w:spacing w:before="100" w:beforeAutospacing="1" w:after="100" w:afterAutospacing="1" w:line="240" w:lineRule="auto"/>
    </w:pPr>
    <w:rPr>
      <w:rFonts w:ascii="Calibri" w:eastAsiaTheme="minorHAnsi" w:hAnsi="Calibri" w:cs="Times New Roman"/>
    </w:rPr>
  </w:style>
  <w:style w:type="paragraph" w:styleId="Caption">
    <w:name w:val="caption"/>
    <w:basedOn w:val="Normal"/>
    <w:next w:val="Normal"/>
    <w:uiPriority w:val="35"/>
    <w:unhideWhenUsed/>
    <w:qFormat/>
    <w:rsid w:val="00D73A72"/>
    <w:pPr>
      <w:spacing w:line="240" w:lineRule="auto"/>
    </w:pPr>
    <w:rPr>
      <w:i/>
      <w:iCs/>
      <w:color w:val="1F497D" w:themeColor="text2"/>
      <w:sz w:val="18"/>
      <w:szCs w:val="18"/>
    </w:rPr>
  </w:style>
  <w:style w:type="table" w:customStyle="1" w:styleId="TableGrid51">
    <w:name w:val="Table Grid51"/>
    <w:basedOn w:val="TableNormal"/>
    <w:next w:val="TableGrid"/>
    <w:uiPriority w:val="39"/>
    <w:rsid w:val="00612AE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612AEE"/>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612AEE"/>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337">
      <w:bodyDiv w:val="1"/>
      <w:marLeft w:val="0"/>
      <w:marRight w:val="0"/>
      <w:marTop w:val="0"/>
      <w:marBottom w:val="0"/>
      <w:divBdr>
        <w:top w:val="none" w:sz="0" w:space="0" w:color="auto"/>
        <w:left w:val="none" w:sz="0" w:space="0" w:color="auto"/>
        <w:bottom w:val="none" w:sz="0" w:space="0" w:color="auto"/>
        <w:right w:val="none" w:sz="0" w:space="0" w:color="auto"/>
      </w:divBdr>
    </w:div>
    <w:div w:id="8336931">
      <w:bodyDiv w:val="1"/>
      <w:marLeft w:val="0"/>
      <w:marRight w:val="0"/>
      <w:marTop w:val="0"/>
      <w:marBottom w:val="0"/>
      <w:divBdr>
        <w:top w:val="none" w:sz="0" w:space="0" w:color="auto"/>
        <w:left w:val="none" w:sz="0" w:space="0" w:color="auto"/>
        <w:bottom w:val="none" w:sz="0" w:space="0" w:color="auto"/>
        <w:right w:val="none" w:sz="0" w:space="0" w:color="auto"/>
      </w:divBdr>
    </w:div>
    <w:div w:id="25444725">
      <w:bodyDiv w:val="1"/>
      <w:marLeft w:val="0"/>
      <w:marRight w:val="0"/>
      <w:marTop w:val="0"/>
      <w:marBottom w:val="0"/>
      <w:divBdr>
        <w:top w:val="none" w:sz="0" w:space="0" w:color="auto"/>
        <w:left w:val="none" w:sz="0" w:space="0" w:color="auto"/>
        <w:bottom w:val="none" w:sz="0" w:space="0" w:color="auto"/>
        <w:right w:val="none" w:sz="0" w:space="0" w:color="auto"/>
      </w:divBdr>
    </w:div>
    <w:div w:id="34698580">
      <w:bodyDiv w:val="1"/>
      <w:marLeft w:val="0"/>
      <w:marRight w:val="0"/>
      <w:marTop w:val="0"/>
      <w:marBottom w:val="0"/>
      <w:divBdr>
        <w:top w:val="none" w:sz="0" w:space="0" w:color="auto"/>
        <w:left w:val="none" w:sz="0" w:space="0" w:color="auto"/>
        <w:bottom w:val="none" w:sz="0" w:space="0" w:color="auto"/>
        <w:right w:val="none" w:sz="0" w:space="0" w:color="auto"/>
      </w:divBdr>
    </w:div>
    <w:div w:id="49812994">
      <w:bodyDiv w:val="1"/>
      <w:marLeft w:val="0"/>
      <w:marRight w:val="0"/>
      <w:marTop w:val="0"/>
      <w:marBottom w:val="0"/>
      <w:divBdr>
        <w:top w:val="none" w:sz="0" w:space="0" w:color="auto"/>
        <w:left w:val="none" w:sz="0" w:space="0" w:color="auto"/>
        <w:bottom w:val="none" w:sz="0" w:space="0" w:color="auto"/>
        <w:right w:val="none" w:sz="0" w:space="0" w:color="auto"/>
      </w:divBdr>
    </w:div>
    <w:div w:id="55052181">
      <w:bodyDiv w:val="1"/>
      <w:marLeft w:val="0"/>
      <w:marRight w:val="0"/>
      <w:marTop w:val="0"/>
      <w:marBottom w:val="0"/>
      <w:divBdr>
        <w:top w:val="none" w:sz="0" w:space="0" w:color="auto"/>
        <w:left w:val="none" w:sz="0" w:space="0" w:color="auto"/>
        <w:bottom w:val="none" w:sz="0" w:space="0" w:color="auto"/>
        <w:right w:val="none" w:sz="0" w:space="0" w:color="auto"/>
      </w:divBdr>
    </w:div>
    <w:div w:id="56754665">
      <w:bodyDiv w:val="1"/>
      <w:marLeft w:val="0"/>
      <w:marRight w:val="0"/>
      <w:marTop w:val="0"/>
      <w:marBottom w:val="0"/>
      <w:divBdr>
        <w:top w:val="none" w:sz="0" w:space="0" w:color="auto"/>
        <w:left w:val="none" w:sz="0" w:space="0" w:color="auto"/>
        <w:bottom w:val="none" w:sz="0" w:space="0" w:color="auto"/>
        <w:right w:val="none" w:sz="0" w:space="0" w:color="auto"/>
      </w:divBdr>
    </w:div>
    <w:div w:id="68424499">
      <w:bodyDiv w:val="1"/>
      <w:marLeft w:val="0"/>
      <w:marRight w:val="0"/>
      <w:marTop w:val="0"/>
      <w:marBottom w:val="0"/>
      <w:divBdr>
        <w:top w:val="none" w:sz="0" w:space="0" w:color="auto"/>
        <w:left w:val="none" w:sz="0" w:space="0" w:color="auto"/>
        <w:bottom w:val="none" w:sz="0" w:space="0" w:color="auto"/>
        <w:right w:val="none" w:sz="0" w:space="0" w:color="auto"/>
      </w:divBdr>
    </w:div>
    <w:div w:id="75132045">
      <w:bodyDiv w:val="1"/>
      <w:marLeft w:val="0"/>
      <w:marRight w:val="0"/>
      <w:marTop w:val="0"/>
      <w:marBottom w:val="0"/>
      <w:divBdr>
        <w:top w:val="none" w:sz="0" w:space="0" w:color="auto"/>
        <w:left w:val="none" w:sz="0" w:space="0" w:color="auto"/>
        <w:bottom w:val="none" w:sz="0" w:space="0" w:color="auto"/>
        <w:right w:val="none" w:sz="0" w:space="0" w:color="auto"/>
      </w:divBdr>
    </w:div>
    <w:div w:id="77488336">
      <w:bodyDiv w:val="1"/>
      <w:marLeft w:val="0"/>
      <w:marRight w:val="0"/>
      <w:marTop w:val="0"/>
      <w:marBottom w:val="0"/>
      <w:divBdr>
        <w:top w:val="none" w:sz="0" w:space="0" w:color="auto"/>
        <w:left w:val="none" w:sz="0" w:space="0" w:color="auto"/>
        <w:bottom w:val="none" w:sz="0" w:space="0" w:color="auto"/>
        <w:right w:val="none" w:sz="0" w:space="0" w:color="auto"/>
      </w:divBdr>
    </w:div>
    <w:div w:id="80415146">
      <w:bodyDiv w:val="1"/>
      <w:marLeft w:val="0"/>
      <w:marRight w:val="0"/>
      <w:marTop w:val="0"/>
      <w:marBottom w:val="0"/>
      <w:divBdr>
        <w:top w:val="none" w:sz="0" w:space="0" w:color="auto"/>
        <w:left w:val="none" w:sz="0" w:space="0" w:color="auto"/>
        <w:bottom w:val="none" w:sz="0" w:space="0" w:color="auto"/>
        <w:right w:val="none" w:sz="0" w:space="0" w:color="auto"/>
      </w:divBdr>
    </w:div>
    <w:div w:id="81033064">
      <w:bodyDiv w:val="1"/>
      <w:marLeft w:val="0"/>
      <w:marRight w:val="0"/>
      <w:marTop w:val="0"/>
      <w:marBottom w:val="0"/>
      <w:divBdr>
        <w:top w:val="none" w:sz="0" w:space="0" w:color="auto"/>
        <w:left w:val="none" w:sz="0" w:space="0" w:color="auto"/>
        <w:bottom w:val="none" w:sz="0" w:space="0" w:color="auto"/>
        <w:right w:val="none" w:sz="0" w:space="0" w:color="auto"/>
      </w:divBdr>
    </w:div>
    <w:div w:id="83772482">
      <w:bodyDiv w:val="1"/>
      <w:marLeft w:val="0"/>
      <w:marRight w:val="0"/>
      <w:marTop w:val="0"/>
      <w:marBottom w:val="0"/>
      <w:divBdr>
        <w:top w:val="none" w:sz="0" w:space="0" w:color="auto"/>
        <w:left w:val="none" w:sz="0" w:space="0" w:color="auto"/>
        <w:bottom w:val="none" w:sz="0" w:space="0" w:color="auto"/>
        <w:right w:val="none" w:sz="0" w:space="0" w:color="auto"/>
      </w:divBdr>
    </w:div>
    <w:div w:id="94132160">
      <w:bodyDiv w:val="1"/>
      <w:marLeft w:val="0"/>
      <w:marRight w:val="0"/>
      <w:marTop w:val="0"/>
      <w:marBottom w:val="0"/>
      <w:divBdr>
        <w:top w:val="none" w:sz="0" w:space="0" w:color="auto"/>
        <w:left w:val="none" w:sz="0" w:space="0" w:color="auto"/>
        <w:bottom w:val="none" w:sz="0" w:space="0" w:color="auto"/>
        <w:right w:val="none" w:sz="0" w:space="0" w:color="auto"/>
      </w:divBdr>
    </w:div>
    <w:div w:id="96684133">
      <w:bodyDiv w:val="1"/>
      <w:marLeft w:val="0"/>
      <w:marRight w:val="0"/>
      <w:marTop w:val="0"/>
      <w:marBottom w:val="0"/>
      <w:divBdr>
        <w:top w:val="none" w:sz="0" w:space="0" w:color="auto"/>
        <w:left w:val="none" w:sz="0" w:space="0" w:color="auto"/>
        <w:bottom w:val="none" w:sz="0" w:space="0" w:color="auto"/>
        <w:right w:val="none" w:sz="0" w:space="0" w:color="auto"/>
      </w:divBdr>
    </w:div>
    <w:div w:id="115832501">
      <w:bodyDiv w:val="1"/>
      <w:marLeft w:val="0"/>
      <w:marRight w:val="0"/>
      <w:marTop w:val="0"/>
      <w:marBottom w:val="0"/>
      <w:divBdr>
        <w:top w:val="none" w:sz="0" w:space="0" w:color="auto"/>
        <w:left w:val="none" w:sz="0" w:space="0" w:color="auto"/>
        <w:bottom w:val="none" w:sz="0" w:space="0" w:color="auto"/>
        <w:right w:val="none" w:sz="0" w:space="0" w:color="auto"/>
      </w:divBdr>
    </w:div>
    <w:div w:id="128523609">
      <w:bodyDiv w:val="1"/>
      <w:marLeft w:val="0"/>
      <w:marRight w:val="0"/>
      <w:marTop w:val="0"/>
      <w:marBottom w:val="0"/>
      <w:divBdr>
        <w:top w:val="none" w:sz="0" w:space="0" w:color="auto"/>
        <w:left w:val="none" w:sz="0" w:space="0" w:color="auto"/>
        <w:bottom w:val="none" w:sz="0" w:space="0" w:color="auto"/>
        <w:right w:val="none" w:sz="0" w:space="0" w:color="auto"/>
      </w:divBdr>
    </w:div>
    <w:div w:id="142813764">
      <w:bodyDiv w:val="1"/>
      <w:marLeft w:val="0"/>
      <w:marRight w:val="0"/>
      <w:marTop w:val="0"/>
      <w:marBottom w:val="0"/>
      <w:divBdr>
        <w:top w:val="none" w:sz="0" w:space="0" w:color="auto"/>
        <w:left w:val="none" w:sz="0" w:space="0" w:color="auto"/>
        <w:bottom w:val="none" w:sz="0" w:space="0" w:color="auto"/>
        <w:right w:val="none" w:sz="0" w:space="0" w:color="auto"/>
      </w:divBdr>
    </w:div>
    <w:div w:id="156583289">
      <w:bodyDiv w:val="1"/>
      <w:marLeft w:val="0"/>
      <w:marRight w:val="0"/>
      <w:marTop w:val="0"/>
      <w:marBottom w:val="0"/>
      <w:divBdr>
        <w:top w:val="none" w:sz="0" w:space="0" w:color="auto"/>
        <w:left w:val="none" w:sz="0" w:space="0" w:color="auto"/>
        <w:bottom w:val="none" w:sz="0" w:space="0" w:color="auto"/>
        <w:right w:val="none" w:sz="0" w:space="0" w:color="auto"/>
      </w:divBdr>
    </w:div>
    <w:div w:id="158009011">
      <w:bodyDiv w:val="1"/>
      <w:marLeft w:val="0"/>
      <w:marRight w:val="0"/>
      <w:marTop w:val="0"/>
      <w:marBottom w:val="0"/>
      <w:divBdr>
        <w:top w:val="none" w:sz="0" w:space="0" w:color="auto"/>
        <w:left w:val="none" w:sz="0" w:space="0" w:color="auto"/>
        <w:bottom w:val="none" w:sz="0" w:space="0" w:color="auto"/>
        <w:right w:val="none" w:sz="0" w:space="0" w:color="auto"/>
      </w:divBdr>
    </w:div>
    <w:div w:id="173611403">
      <w:bodyDiv w:val="1"/>
      <w:marLeft w:val="0"/>
      <w:marRight w:val="0"/>
      <w:marTop w:val="0"/>
      <w:marBottom w:val="0"/>
      <w:divBdr>
        <w:top w:val="none" w:sz="0" w:space="0" w:color="auto"/>
        <w:left w:val="none" w:sz="0" w:space="0" w:color="auto"/>
        <w:bottom w:val="none" w:sz="0" w:space="0" w:color="auto"/>
        <w:right w:val="none" w:sz="0" w:space="0" w:color="auto"/>
      </w:divBdr>
    </w:div>
    <w:div w:id="191920892">
      <w:bodyDiv w:val="1"/>
      <w:marLeft w:val="0"/>
      <w:marRight w:val="0"/>
      <w:marTop w:val="0"/>
      <w:marBottom w:val="0"/>
      <w:divBdr>
        <w:top w:val="none" w:sz="0" w:space="0" w:color="auto"/>
        <w:left w:val="none" w:sz="0" w:space="0" w:color="auto"/>
        <w:bottom w:val="none" w:sz="0" w:space="0" w:color="auto"/>
        <w:right w:val="none" w:sz="0" w:space="0" w:color="auto"/>
      </w:divBdr>
    </w:div>
    <w:div w:id="198973602">
      <w:bodyDiv w:val="1"/>
      <w:marLeft w:val="1440"/>
      <w:marRight w:val="1440"/>
      <w:marTop w:val="1440"/>
      <w:marBottom w:val="1440"/>
      <w:divBdr>
        <w:top w:val="none" w:sz="0" w:space="0" w:color="auto"/>
        <w:left w:val="none" w:sz="0" w:space="0" w:color="auto"/>
        <w:bottom w:val="none" w:sz="0" w:space="0" w:color="auto"/>
        <w:right w:val="none" w:sz="0" w:space="0" w:color="auto"/>
      </w:divBdr>
    </w:div>
    <w:div w:id="201093731">
      <w:bodyDiv w:val="1"/>
      <w:marLeft w:val="0"/>
      <w:marRight w:val="0"/>
      <w:marTop w:val="0"/>
      <w:marBottom w:val="0"/>
      <w:divBdr>
        <w:top w:val="none" w:sz="0" w:space="0" w:color="auto"/>
        <w:left w:val="none" w:sz="0" w:space="0" w:color="auto"/>
        <w:bottom w:val="none" w:sz="0" w:space="0" w:color="auto"/>
        <w:right w:val="none" w:sz="0" w:space="0" w:color="auto"/>
      </w:divBdr>
      <w:divsChild>
        <w:div w:id="1148783287">
          <w:marLeft w:val="0"/>
          <w:marRight w:val="0"/>
          <w:marTop w:val="0"/>
          <w:marBottom w:val="0"/>
          <w:divBdr>
            <w:top w:val="none" w:sz="0" w:space="0" w:color="auto"/>
            <w:left w:val="none" w:sz="0" w:space="0" w:color="auto"/>
            <w:bottom w:val="none" w:sz="0" w:space="0" w:color="auto"/>
            <w:right w:val="none" w:sz="0" w:space="0" w:color="auto"/>
          </w:divBdr>
          <w:divsChild>
            <w:div w:id="1871261938">
              <w:marLeft w:val="0"/>
              <w:marRight w:val="0"/>
              <w:marTop w:val="0"/>
              <w:marBottom w:val="0"/>
              <w:divBdr>
                <w:top w:val="none" w:sz="0" w:space="0" w:color="auto"/>
                <w:left w:val="none" w:sz="0" w:space="0" w:color="auto"/>
                <w:bottom w:val="none" w:sz="0" w:space="0" w:color="auto"/>
                <w:right w:val="none" w:sz="0" w:space="0" w:color="auto"/>
              </w:divBdr>
              <w:divsChild>
                <w:div w:id="1698459368">
                  <w:marLeft w:val="0"/>
                  <w:marRight w:val="0"/>
                  <w:marTop w:val="0"/>
                  <w:marBottom w:val="0"/>
                  <w:divBdr>
                    <w:top w:val="none" w:sz="0" w:space="0" w:color="auto"/>
                    <w:left w:val="none" w:sz="0" w:space="0" w:color="auto"/>
                    <w:bottom w:val="none" w:sz="0" w:space="0" w:color="auto"/>
                    <w:right w:val="none" w:sz="0" w:space="0" w:color="auto"/>
                  </w:divBdr>
                  <w:divsChild>
                    <w:div w:id="211701017">
                      <w:marLeft w:val="0"/>
                      <w:marRight w:val="0"/>
                      <w:marTop w:val="0"/>
                      <w:marBottom w:val="0"/>
                      <w:divBdr>
                        <w:top w:val="none" w:sz="0" w:space="0" w:color="auto"/>
                        <w:left w:val="none" w:sz="0" w:space="0" w:color="auto"/>
                        <w:bottom w:val="none" w:sz="0" w:space="0" w:color="auto"/>
                        <w:right w:val="none" w:sz="0" w:space="0" w:color="auto"/>
                      </w:divBdr>
                      <w:divsChild>
                        <w:div w:id="14067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8297">
      <w:bodyDiv w:val="1"/>
      <w:marLeft w:val="0"/>
      <w:marRight w:val="0"/>
      <w:marTop w:val="0"/>
      <w:marBottom w:val="0"/>
      <w:divBdr>
        <w:top w:val="none" w:sz="0" w:space="0" w:color="auto"/>
        <w:left w:val="none" w:sz="0" w:space="0" w:color="auto"/>
        <w:bottom w:val="none" w:sz="0" w:space="0" w:color="auto"/>
        <w:right w:val="none" w:sz="0" w:space="0" w:color="auto"/>
      </w:divBdr>
    </w:div>
    <w:div w:id="240599475">
      <w:bodyDiv w:val="1"/>
      <w:marLeft w:val="0"/>
      <w:marRight w:val="0"/>
      <w:marTop w:val="0"/>
      <w:marBottom w:val="0"/>
      <w:divBdr>
        <w:top w:val="none" w:sz="0" w:space="0" w:color="auto"/>
        <w:left w:val="none" w:sz="0" w:space="0" w:color="auto"/>
        <w:bottom w:val="none" w:sz="0" w:space="0" w:color="auto"/>
        <w:right w:val="none" w:sz="0" w:space="0" w:color="auto"/>
      </w:divBdr>
    </w:div>
    <w:div w:id="248734262">
      <w:bodyDiv w:val="1"/>
      <w:marLeft w:val="0"/>
      <w:marRight w:val="0"/>
      <w:marTop w:val="0"/>
      <w:marBottom w:val="0"/>
      <w:divBdr>
        <w:top w:val="none" w:sz="0" w:space="0" w:color="auto"/>
        <w:left w:val="none" w:sz="0" w:space="0" w:color="auto"/>
        <w:bottom w:val="none" w:sz="0" w:space="0" w:color="auto"/>
        <w:right w:val="none" w:sz="0" w:space="0" w:color="auto"/>
      </w:divBdr>
    </w:div>
    <w:div w:id="248856440">
      <w:bodyDiv w:val="1"/>
      <w:marLeft w:val="1440"/>
      <w:marRight w:val="1440"/>
      <w:marTop w:val="1440"/>
      <w:marBottom w:val="1440"/>
      <w:divBdr>
        <w:top w:val="none" w:sz="0" w:space="0" w:color="auto"/>
        <w:left w:val="none" w:sz="0" w:space="0" w:color="auto"/>
        <w:bottom w:val="none" w:sz="0" w:space="0" w:color="auto"/>
        <w:right w:val="none" w:sz="0" w:space="0" w:color="auto"/>
      </w:divBdr>
    </w:div>
    <w:div w:id="250428238">
      <w:bodyDiv w:val="1"/>
      <w:marLeft w:val="0"/>
      <w:marRight w:val="0"/>
      <w:marTop w:val="0"/>
      <w:marBottom w:val="0"/>
      <w:divBdr>
        <w:top w:val="none" w:sz="0" w:space="0" w:color="auto"/>
        <w:left w:val="none" w:sz="0" w:space="0" w:color="auto"/>
        <w:bottom w:val="none" w:sz="0" w:space="0" w:color="auto"/>
        <w:right w:val="none" w:sz="0" w:space="0" w:color="auto"/>
      </w:divBdr>
    </w:div>
    <w:div w:id="266079710">
      <w:bodyDiv w:val="1"/>
      <w:marLeft w:val="0"/>
      <w:marRight w:val="0"/>
      <w:marTop w:val="0"/>
      <w:marBottom w:val="0"/>
      <w:divBdr>
        <w:top w:val="none" w:sz="0" w:space="0" w:color="auto"/>
        <w:left w:val="none" w:sz="0" w:space="0" w:color="auto"/>
        <w:bottom w:val="none" w:sz="0" w:space="0" w:color="auto"/>
        <w:right w:val="none" w:sz="0" w:space="0" w:color="auto"/>
      </w:divBdr>
    </w:div>
    <w:div w:id="285543750">
      <w:bodyDiv w:val="1"/>
      <w:marLeft w:val="0"/>
      <w:marRight w:val="0"/>
      <w:marTop w:val="0"/>
      <w:marBottom w:val="0"/>
      <w:divBdr>
        <w:top w:val="none" w:sz="0" w:space="0" w:color="auto"/>
        <w:left w:val="none" w:sz="0" w:space="0" w:color="auto"/>
        <w:bottom w:val="none" w:sz="0" w:space="0" w:color="auto"/>
        <w:right w:val="none" w:sz="0" w:space="0" w:color="auto"/>
      </w:divBdr>
    </w:div>
    <w:div w:id="286471441">
      <w:bodyDiv w:val="1"/>
      <w:marLeft w:val="0"/>
      <w:marRight w:val="0"/>
      <w:marTop w:val="0"/>
      <w:marBottom w:val="0"/>
      <w:divBdr>
        <w:top w:val="none" w:sz="0" w:space="0" w:color="auto"/>
        <w:left w:val="none" w:sz="0" w:space="0" w:color="auto"/>
        <w:bottom w:val="none" w:sz="0" w:space="0" w:color="auto"/>
        <w:right w:val="none" w:sz="0" w:space="0" w:color="auto"/>
      </w:divBdr>
    </w:div>
    <w:div w:id="294410723">
      <w:bodyDiv w:val="1"/>
      <w:marLeft w:val="0"/>
      <w:marRight w:val="0"/>
      <w:marTop w:val="0"/>
      <w:marBottom w:val="0"/>
      <w:divBdr>
        <w:top w:val="none" w:sz="0" w:space="0" w:color="auto"/>
        <w:left w:val="none" w:sz="0" w:space="0" w:color="auto"/>
        <w:bottom w:val="none" w:sz="0" w:space="0" w:color="auto"/>
        <w:right w:val="none" w:sz="0" w:space="0" w:color="auto"/>
      </w:divBdr>
    </w:div>
    <w:div w:id="300617653">
      <w:bodyDiv w:val="1"/>
      <w:marLeft w:val="0"/>
      <w:marRight w:val="0"/>
      <w:marTop w:val="0"/>
      <w:marBottom w:val="0"/>
      <w:divBdr>
        <w:top w:val="none" w:sz="0" w:space="0" w:color="auto"/>
        <w:left w:val="none" w:sz="0" w:space="0" w:color="auto"/>
        <w:bottom w:val="none" w:sz="0" w:space="0" w:color="auto"/>
        <w:right w:val="none" w:sz="0" w:space="0" w:color="auto"/>
      </w:divBdr>
    </w:div>
    <w:div w:id="302741096">
      <w:bodyDiv w:val="1"/>
      <w:marLeft w:val="0"/>
      <w:marRight w:val="0"/>
      <w:marTop w:val="0"/>
      <w:marBottom w:val="0"/>
      <w:divBdr>
        <w:top w:val="none" w:sz="0" w:space="0" w:color="auto"/>
        <w:left w:val="none" w:sz="0" w:space="0" w:color="auto"/>
        <w:bottom w:val="none" w:sz="0" w:space="0" w:color="auto"/>
        <w:right w:val="none" w:sz="0" w:space="0" w:color="auto"/>
      </w:divBdr>
    </w:div>
    <w:div w:id="304092049">
      <w:bodyDiv w:val="1"/>
      <w:marLeft w:val="0"/>
      <w:marRight w:val="0"/>
      <w:marTop w:val="0"/>
      <w:marBottom w:val="0"/>
      <w:divBdr>
        <w:top w:val="none" w:sz="0" w:space="0" w:color="auto"/>
        <w:left w:val="none" w:sz="0" w:space="0" w:color="auto"/>
        <w:bottom w:val="none" w:sz="0" w:space="0" w:color="auto"/>
        <w:right w:val="none" w:sz="0" w:space="0" w:color="auto"/>
      </w:divBdr>
    </w:div>
    <w:div w:id="312217964">
      <w:bodyDiv w:val="1"/>
      <w:marLeft w:val="0"/>
      <w:marRight w:val="0"/>
      <w:marTop w:val="0"/>
      <w:marBottom w:val="0"/>
      <w:divBdr>
        <w:top w:val="none" w:sz="0" w:space="0" w:color="auto"/>
        <w:left w:val="none" w:sz="0" w:space="0" w:color="auto"/>
        <w:bottom w:val="none" w:sz="0" w:space="0" w:color="auto"/>
        <w:right w:val="none" w:sz="0" w:space="0" w:color="auto"/>
      </w:divBdr>
    </w:div>
    <w:div w:id="314337402">
      <w:bodyDiv w:val="1"/>
      <w:marLeft w:val="0"/>
      <w:marRight w:val="0"/>
      <w:marTop w:val="0"/>
      <w:marBottom w:val="0"/>
      <w:divBdr>
        <w:top w:val="none" w:sz="0" w:space="0" w:color="auto"/>
        <w:left w:val="none" w:sz="0" w:space="0" w:color="auto"/>
        <w:bottom w:val="none" w:sz="0" w:space="0" w:color="auto"/>
        <w:right w:val="none" w:sz="0" w:space="0" w:color="auto"/>
      </w:divBdr>
    </w:div>
    <w:div w:id="316612738">
      <w:bodyDiv w:val="1"/>
      <w:marLeft w:val="0"/>
      <w:marRight w:val="0"/>
      <w:marTop w:val="0"/>
      <w:marBottom w:val="0"/>
      <w:divBdr>
        <w:top w:val="none" w:sz="0" w:space="0" w:color="auto"/>
        <w:left w:val="none" w:sz="0" w:space="0" w:color="auto"/>
        <w:bottom w:val="none" w:sz="0" w:space="0" w:color="auto"/>
        <w:right w:val="none" w:sz="0" w:space="0" w:color="auto"/>
      </w:divBdr>
    </w:div>
    <w:div w:id="317466027">
      <w:bodyDiv w:val="1"/>
      <w:marLeft w:val="0"/>
      <w:marRight w:val="0"/>
      <w:marTop w:val="0"/>
      <w:marBottom w:val="0"/>
      <w:divBdr>
        <w:top w:val="none" w:sz="0" w:space="0" w:color="auto"/>
        <w:left w:val="none" w:sz="0" w:space="0" w:color="auto"/>
        <w:bottom w:val="none" w:sz="0" w:space="0" w:color="auto"/>
        <w:right w:val="none" w:sz="0" w:space="0" w:color="auto"/>
      </w:divBdr>
    </w:div>
    <w:div w:id="321735067">
      <w:bodyDiv w:val="1"/>
      <w:marLeft w:val="0"/>
      <w:marRight w:val="0"/>
      <w:marTop w:val="0"/>
      <w:marBottom w:val="0"/>
      <w:divBdr>
        <w:top w:val="none" w:sz="0" w:space="0" w:color="auto"/>
        <w:left w:val="none" w:sz="0" w:space="0" w:color="auto"/>
        <w:bottom w:val="none" w:sz="0" w:space="0" w:color="auto"/>
        <w:right w:val="none" w:sz="0" w:space="0" w:color="auto"/>
      </w:divBdr>
    </w:div>
    <w:div w:id="341784216">
      <w:bodyDiv w:val="1"/>
      <w:marLeft w:val="0"/>
      <w:marRight w:val="0"/>
      <w:marTop w:val="0"/>
      <w:marBottom w:val="0"/>
      <w:divBdr>
        <w:top w:val="none" w:sz="0" w:space="0" w:color="auto"/>
        <w:left w:val="none" w:sz="0" w:space="0" w:color="auto"/>
        <w:bottom w:val="none" w:sz="0" w:space="0" w:color="auto"/>
        <w:right w:val="none" w:sz="0" w:space="0" w:color="auto"/>
      </w:divBdr>
    </w:div>
    <w:div w:id="355085665">
      <w:bodyDiv w:val="1"/>
      <w:marLeft w:val="0"/>
      <w:marRight w:val="0"/>
      <w:marTop w:val="0"/>
      <w:marBottom w:val="0"/>
      <w:divBdr>
        <w:top w:val="none" w:sz="0" w:space="0" w:color="auto"/>
        <w:left w:val="none" w:sz="0" w:space="0" w:color="auto"/>
        <w:bottom w:val="none" w:sz="0" w:space="0" w:color="auto"/>
        <w:right w:val="none" w:sz="0" w:space="0" w:color="auto"/>
      </w:divBdr>
      <w:divsChild>
        <w:div w:id="106126410">
          <w:marLeft w:val="0"/>
          <w:marRight w:val="0"/>
          <w:marTop w:val="0"/>
          <w:marBottom w:val="0"/>
          <w:divBdr>
            <w:top w:val="none" w:sz="0" w:space="0" w:color="auto"/>
            <w:left w:val="none" w:sz="0" w:space="0" w:color="auto"/>
            <w:bottom w:val="none" w:sz="0" w:space="0" w:color="auto"/>
            <w:right w:val="none" w:sz="0" w:space="0" w:color="auto"/>
          </w:divBdr>
          <w:divsChild>
            <w:div w:id="115412169">
              <w:marLeft w:val="0"/>
              <w:marRight w:val="0"/>
              <w:marTop w:val="0"/>
              <w:marBottom w:val="0"/>
              <w:divBdr>
                <w:top w:val="none" w:sz="0" w:space="0" w:color="auto"/>
                <w:left w:val="none" w:sz="0" w:space="0" w:color="auto"/>
                <w:bottom w:val="none" w:sz="0" w:space="0" w:color="auto"/>
                <w:right w:val="none" w:sz="0" w:space="0" w:color="auto"/>
              </w:divBdr>
              <w:divsChild>
                <w:div w:id="59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58518">
      <w:bodyDiv w:val="1"/>
      <w:marLeft w:val="0"/>
      <w:marRight w:val="0"/>
      <w:marTop w:val="0"/>
      <w:marBottom w:val="0"/>
      <w:divBdr>
        <w:top w:val="none" w:sz="0" w:space="0" w:color="auto"/>
        <w:left w:val="none" w:sz="0" w:space="0" w:color="auto"/>
        <w:bottom w:val="none" w:sz="0" w:space="0" w:color="auto"/>
        <w:right w:val="none" w:sz="0" w:space="0" w:color="auto"/>
      </w:divBdr>
      <w:divsChild>
        <w:div w:id="1812281518">
          <w:marLeft w:val="0"/>
          <w:marRight w:val="0"/>
          <w:marTop w:val="0"/>
          <w:marBottom w:val="0"/>
          <w:divBdr>
            <w:top w:val="none" w:sz="0" w:space="0" w:color="auto"/>
            <w:left w:val="none" w:sz="0" w:space="0" w:color="auto"/>
            <w:bottom w:val="none" w:sz="0" w:space="0" w:color="auto"/>
            <w:right w:val="none" w:sz="0" w:space="0" w:color="auto"/>
          </w:divBdr>
        </w:div>
      </w:divsChild>
    </w:div>
    <w:div w:id="368066275">
      <w:bodyDiv w:val="1"/>
      <w:marLeft w:val="0"/>
      <w:marRight w:val="0"/>
      <w:marTop w:val="0"/>
      <w:marBottom w:val="0"/>
      <w:divBdr>
        <w:top w:val="none" w:sz="0" w:space="0" w:color="auto"/>
        <w:left w:val="none" w:sz="0" w:space="0" w:color="auto"/>
        <w:bottom w:val="none" w:sz="0" w:space="0" w:color="auto"/>
        <w:right w:val="none" w:sz="0" w:space="0" w:color="auto"/>
      </w:divBdr>
    </w:div>
    <w:div w:id="386488911">
      <w:bodyDiv w:val="1"/>
      <w:marLeft w:val="0"/>
      <w:marRight w:val="0"/>
      <w:marTop w:val="0"/>
      <w:marBottom w:val="0"/>
      <w:divBdr>
        <w:top w:val="none" w:sz="0" w:space="0" w:color="auto"/>
        <w:left w:val="none" w:sz="0" w:space="0" w:color="auto"/>
        <w:bottom w:val="none" w:sz="0" w:space="0" w:color="auto"/>
        <w:right w:val="none" w:sz="0" w:space="0" w:color="auto"/>
      </w:divBdr>
    </w:div>
    <w:div w:id="401759198">
      <w:bodyDiv w:val="1"/>
      <w:marLeft w:val="0"/>
      <w:marRight w:val="0"/>
      <w:marTop w:val="0"/>
      <w:marBottom w:val="0"/>
      <w:divBdr>
        <w:top w:val="none" w:sz="0" w:space="0" w:color="auto"/>
        <w:left w:val="none" w:sz="0" w:space="0" w:color="auto"/>
        <w:bottom w:val="none" w:sz="0" w:space="0" w:color="auto"/>
        <w:right w:val="none" w:sz="0" w:space="0" w:color="auto"/>
      </w:divBdr>
    </w:div>
    <w:div w:id="402992779">
      <w:bodyDiv w:val="1"/>
      <w:marLeft w:val="0"/>
      <w:marRight w:val="0"/>
      <w:marTop w:val="0"/>
      <w:marBottom w:val="0"/>
      <w:divBdr>
        <w:top w:val="none" w:sz="0" w:space="0" w:color="auto"/>
        <w:left w:val="none" w:sz="0" w:space="0" w:color="auto"/>
        <w:bottom w:val="none" w:sz="0" w:space="0" w:color="auto"/>
        <w:right w:val="none" w:sz="0" w:space="0" w:color="auto"/>
      </w:divBdr>
    </w:div>
    <w:div w:id="411858031">
      <w:bodyDiv w:val="1"/>
      <w:marLeft w:val="1440"/>
      <w:marRight w:val="1440"/>
      <w:marTop w:val="1440"/>
      <w:marBottom w:val="1440"/>
      <w:divBdr>
        <w:top w:val="none" w:sz="0" w:space="0" w:color="auto"/>
        <w:left w:val="none" w:sz="0" w:space="0" w:color="auto"/>
        <w:bottom w:val="none" w:sz="0" w:space="0" w:color="auto"/>
        <w:right w:val="none" w:sz="0" w:space="0" w:color="auto"/>
      </w:divBdr>
    </w:div>
    <w:div w:id="465780228">
      <w:bodyDiv w:val="1"/>
      <w:marLeft w:val="0"/>
      <w:marRight w:val="0"/>
      <w:marTop w:val="0"/>
      <w:marBottom w:val="0"/>
      <w:divBdr>
        <w:top w:val="none" w:sz="0" w:space="0" w:color="auto"/>
        <w:left w:val="none" w:sz="0" w:space="0" w:color="auto"/>
        <w:bottom w:val="none" w:sz="0" w:space="0" w:color="auto"/>
        <w:right w:val="none" w:sz="0" w:space="0" w:color="auto"/>
      </w:divBdr>
    </w:div>
    <w:div w:id="470709867">
      <w:bodyDiv w:val="1"/>
      <w:marLeft w:val="0"/>
      <w:marRight w:val="0"/>
      <w:marTop w:val="0"/>
      <w:marBottom w:val="0"/>
      <w:divBdr>
        <w:top w:val="none" w:sz="0" w:space="0" w:color="auto"/>
        <w:left w:val="none" w:sz="0" w:space="0" w:color="auto"/>
        <w:bottom w:val="none" w:sz="0" w:space="0" w:color="auto"/>
        <w:right w:val="none" w:sz="0" w:space="0" w:color="auto"/>
      </w:divBdr>
    </w:div>
    <w:div w:id="472213640">
      <w:bodyDiv w:val="1"/>
      <w:marLeft w:val="0"/>
      <w:marRight w:val="0"/>
      <w:marTop w:val="0"/>
      <w:marBottom w:val="0"/>
      <w:divBdr>
        <w:top w:val="none" w:sz="0" w:space="0" w:color="auto"/>
        <w:left w:val="none" w:sz="0" w:space="0" w:color="auto"/>
        <w:bottom w:val="none" w:sz="0" w:space="0" w:color="auto"/>
        <w:right w:val="none" w:sz="0" w:space="0" w:color="auto"/>
      </w:divBdr>
    </w:div>
    <w:div w:id="487942203">
      <w:bodyDiv w:val="1"/>
      <w:marLeft w:val="0"/>
      <w:marRight w:val="0"/>
      <w:marTop w:val="0"/>
      <w:marBottom w:val="0"/>
      <w:divBdr>
        <w:top w:val="none" w:sz="0" w:space="0" w:color="auto"/>
        <w:left w:val="none" w:sz="0" w:space="0" w:color="auto"/>
        <w:bottom w:val="none" w:sz="0" w:space="0" w:color="auto"/>
        <w:right w:val="none" w:sz="0" w:space="0" w:color="auto"/>
      </w:divBdr>
    </w:div>
    <w:div w:id="509490085">
      <w:bodyDiv w:val="1"/>
      <w:marLeft w:val="0"/>
      <w:marRight w:val="0"/>
      <w:marTop w:val="0"/>
      <w:marBottom w:val="0"/>
      <w:divBdr>
        <w:top w:val="none" w:sz="0" w:space="0" w:color="auto"/>
        <w:left w:val="none" w:sz="0" w:space="0" w:color="auto"/>
        <w:bottom w:val="none" w:sz="0" w:space="0" w:color="auto"/>
        <w:right w:val="none" w:sz="0" w:space="0" w:color="auto"/>
      </w:divBdr>
    </w:div>
    <w:div w:id="512376580">
      <w:bodyDiv w:val="1"/>
      <w:marLeft w:val="0"/>
      <w:marRight w:val="0"/>
      <w:marTop w:val="0"/>
      <w:marBottom w:val="0"/>
      <w:divBdr>
        <w:top w:val="none" w:sz="0" w:space="0" w:color="auto"/>
        <w:left w:val="none" w:sz="0" w:space="0" w:color="auto"/>
        <w:bottom w:val="none" w:sz="0" w:space="0" w:color="auto"/>
        <w:right w:val="none" w:sz="0" w:space="0" w:color="auto"/>
      </w:divBdr>
    </w:div>
    <w:div w:id="512912595">
      <w:bodyDiv w:val="1"/>
      <w:marLeft w:val="0"/>
      <w:marRight w:val="0"/>
      <w:marTop w:val="0"/>
      <w:marBottom w:val="0"/>
      <w:divBdr>
        <w:top w:val="none" w:sz="0" w:space="0" w:color="auto"/>
        <w:left w:val="none" w:sz="0" w:space="0" w:color="auto"/>
        <w:bottom w:val="none" w:sz="0" w:space="0" w:color="auto"/>
        <w:right w:val="none" w:sz="0" w:space="0" w:color="auto"/>
      </w:divBdr>
    </w:div>
    <w:div w:id="529805358">
      <w:bodyDiv w:val="1"/>
      <w:marLeft w:val="0"/>
      <w:marRight w:val="0"/>
      <w:marTop w:val="0"/>
      <w:marBottom w:val="0"/>
      <w:divBdr>
        <w:top w:val="none" w:sz="0" w:space="0" w:color="auto"/>
        <w:left w:val="none" w:sz="0" w:space="0" w:color="auto"/>
        <w:bottom w:val="none" w:sz="0" w:space="0" w:color="auto"/>
        <w:right w:val="none" w:sz="0" w:space="0" w:color="auto"/>
      </w:divBdr>
    </w:div>
    <w:div w:id="541209567">
      <w:bodyDiv w:val="1"/>
      <w:marLeft w:val="1440"/>
      <w:marRight w:val="1440"/>
      <w:marTop w:val="1440"/>
      <w:marBottom w:val="1440"/>
      <w:divBdr>
        <w:top w:val="none" w:sz="0" w:space="0" w:color="auto"/>
        <w:left w:val="none" w:sz="0" w:space="0" w:color="auto"/>
        <w:bottom w:val="none" w:sz="0" w:space="0" w:color="auto"/>
        <w:right w:val="none" w:sz="0" w:space="0" w:color="auto"/>
      </w:divBdr>
    </w:div>
    <w:div w:id="546382339">
      <w:bodyDiv w:val="1"/>
      <w:marLeft w:val="0"/>
      <w:marRight w:val="0"/>
      <w:marTop w:val="0"/>
      <w:marBottom w:val="0"/>
      <w:divBdr>
        <w:top w:val="none" w:sz="0" w:space="0" w:color="auto"/>
        <w:left w:val="none" w:sz="0" w:space="0" w:color="auto"/>
        <w:bottom w:val="none" w:sz="0" w:space="0" w:color="auto"/>
        <w:right w:val="none" w:sz="0" w:space="0" w:color="auto"/>
      </w:divBdr>
    </w:div>
    <w:div w:id="553389519">
      <w:bodyDiv w:val="1"/>
      <w:marLeft w:val="0"/>
      <w:marRight w:val="0"/>
      <w:marTop w:val="0"/>
      <w:marBottom w:val="0"/>
      <w:divBdr>
        <w:top w:val="none" w:sz="0" w:space="0" w:color="auto"/>
        <w:left w:val="none" w:sz="0" w:space="0" w:color="auto"/>
        <w:bottom w:val="none" w:sz="0" w:space="0" w:color="auto"/>
        <w:right w:val="none" w:sz="0" w:space="0" w:color="auto"/>
      </w:divBdr>
    </w:div>
    <w:div w:id="556354318">
      <w:bodyDiv w:val="1"/>
      <w:marLeft w:val="0"/>
      <w:marRight w:val="0"/>
      <w:marTop w:val="0"/>
      <w:marBottom w:val="0"/>
      <w:divBdr>
        <w:top w:val="none" w:sz="0" w:space="0" w:color="auto"/>
        <w:left w:val="none" w:sz="0" w:space="0" w:color="auto"/>
        <w:bottom w:val="none" w:sz="0" w:space="0" w:color="auto"/>
        <w:right w:val="none" w:sz="0" w:space="0" w:color="auto"/>
      </w:divBdr>
    </w:div>
    <w:div w:id="557861569">
      <w:bodyDiv w:val="1"/>
      <w:marLeft w:val="0"/>
      <w:marRight w:val="0"/>
      <w:marTop w:val="0"/>
      <w:marBottom w:val="0"/>
      <w:divBdr>
        <w:top w:val="none" w:sz="0" w:space="0" w:color="auto"/>
        <w:left w:val="none" w:sz="0" w:space="0" w:color="auto"/>
        <w:bottom w:val="none" w:sz="0" w:space="0" w:color="auto"/>
        <w:right w:val="none" w:sz="0" w:space="0" w:color="auto"/>
      </w:divBdr>
    </w:div>
    <w:div w:id="559436540">
      <w:bodyDiv w:val="1"/>
      <w:marLeft w:val="0"/>
      <w:marRight w:val="0"/>
      <w:marTop w:val="0"/>
      <w:marBottom w:val="0"/>
      <w:divBdr>
        <w:top w:val="none" w:sz="0" w:space="0" w:color="auto"/>
        <w:left w:val="none" w:sz="0" w:space="0" w:color="auto"/>
        <w:bottom w:val="none" w:sz="0" w:space="0" w:color="auto"/>
        <w:right w:val="none" w:sz="0" w:space="0" w:color="auto"/>
      </w:divBdr>
    </w:div>
    <w:div w:id="560755042">
      <w:bodyDiv w:val="1"/>
      <w:marLeft w:val="1440"/>
      <w:marRight w:val="1440"/>
      <w:marTop w:val="1440"/>
      <w:marBottom w:val="1440"/>
      <w:divBdr>
        <w:top w:val="none" w:sz="0" w:space="0" w:color="auto"/>
        <w:left w:val="none" w:sz="0" w:space="0" w:color="auto"/>
        <w:bottom w:val="none" w:sz="0" w:space="0" w:color="auto"/>
        <w:right w:val="none" w:sz="0" w:space="0" w:color="auto"/>
      </w:divBdr>
    </w:div>
    <w:div w:id="583805011">
      <w:bodyDiv w:val="1"/>
      <w:marLeft w:val="0"/>
      <w:marRight w:val="0"/>
      <w:marTop w:val="0"/>
      <w:marBottom w:val="0"/>
      <w:divBdr>
        <w:top w:val="none" w:sz="0" w:space="0" w:color="auto"/>
        <w:left w:val="none" w:sz="0" w:space="0" w:color="auto"/>
        <w:bottom w:val="none" w:sz="0" w:space="0" w:color="auto"/>
        <w:right w:val="none" w:sz="0" w:space="0" w:color="auto"/>
      </w:divBdr>
    </w:div>
    <w:div w:id="588850951">
      <w:bodyDiv w:val="1"/>
      <w:marLeft w:val="0"/>
      <w:marRight w:val="0"/>
      <w:marTop w:val="0"/>
      <w:marBottom w:val="0"/>
      <w:divBdr>
        <w:top w:val="none" w:sz="0" w:space="0" w:color="auto"/>
        <w:left w:val="none" w:sz="0" w:space="0" w:color="auto"/>
        <w:bottom w:val="none" w:sz="0" w:space="0" w:color="auto"/>
        <w:right w:val="none" w:sz="0" w:space="0" w:color="auto"/>
      </w:divBdr>
    </w:div>
    <w:div w:id="607084026">
      <w:bodyDiv w:val="1"/>
      <w:marLeft w:val="0"/>
      <w:marRight w:val="0"/>
      <w:marTop w:val="0"/>
      <w:marBottom w:val="0"/>
      <w:divBdr>
        <w:top w:val="none" w:sz="0" w:space="0" w:color="auto"/>
        <w:left w:val="none" w:sz="0" w:space="0" w:color="auto"/>
        <w:bottom w:val="none" w:sz="0" w:space="0" w:color="auto"/>
        <w:right w:val="none" w:sz="0" w:space="0" w:color="auto"/>
      </w:divBdr>
    </w:div>
    <w:div w:id="608662702">
      <w:bodyDiv w:val="1"/>
      <w:marLeft w:val="0"/>
      <w:marRight w:val="0"/>
      <w:marTop w:val="0"/>
      <w:marBottom w:val="0"/>
      <w:divBdr>
        <w:top w:val="none" w:sz="0" w:space="0" w:color="auto"/>
        <w:left w:val="none" w:sz="0" w:space="0" w:color="auto"/>
        <w:bottom w:val="none" w:sz="0" w:space="0" w:color="auto"/>
        <w:right w:val="none" w:sz="0" w:space="0" w:color="auto"/>
      </w:divBdr>
      <w:divsChild>
        <w:div w:id="1780637280">
          <w:marLeft w:val="0"/>
          <w:marRight w:val="0"/>
          <w:marTop w:val="0"/>
          <w:marBottom w:val="0"/>
          <w:divBdr>
            <w:top w:val="none" w:sz="0" w:space="0" w:color="auto"/>
            <w:left w:val="none" w:sz="0" w:space="0" w:color="auto"/>
            <w:bottom w:val="none" w:sz="0" w:space="0" w:color="auto"/>
            <w:right w:val="none" w:sz="0" w:space="0" w:color="auto"/>
          </w:divBdr>
          <w:divsChild>
            <w:div w:id="1299724548">
              <w:marLeft w:val="0"/>
              <w:marRight w:val="0"/>
              <w:marTop w:val="0"/>
              <w:marBottom w:val="0"/>
              <w:divBdr>
                <w:top w:val="none" w:sz="0" w:space="0" w:color="auto"/>
                <w:left w:val="none" w:sz="0" w:space="0" w:color="auto"/>
                <w:bottom w:val="none" w:sz="0" w:space="0" w:color="auto"/>
                <w:right w:val="none" w:sz="0" w:space="0" w:color="auto"/>
              </w:divBdr>
              <w:divsChild>
                <w:div w:id="64685295">
                  <w:marLeft w:val="0"/>
                  <w:marRight w:val="0"/>
                  <w:marTop w:val="0"/>
                  <w:marBottom w:val="0"/>
                  <w:divBdr>
                    <w:top w:val="none" w:sz="0" w:space="0" w:color="auto"/>
                    <w:left w:val="none" w:sz="0" w:space="0" w:color="auto"/>
                    <w:bottom w:val="none" w:sz="0" w:space="0" w:color="auto"/>
                    <w:right w:val="none" w:sz="0" w:space="0" w:color="auto"/>
                  </w:divBdr>
                  <w:divsChild>
                    <w:div w:id="1850175319">
                      <w:marLeft w:val="0"/>
                      <w:marRight w:val="0"/>
                      <w:marTop w:val="0"/>
                      <w:marBottom w:val="0"/>
                      <w:divBdr>
                        <w:top w:val="none" w:sz="0" w:space="0" w:color="auto"/>
                        <w:left w:val="none" w:sz="0" w:space="0" w:color="auto"/>
                        <w:bottom w:val="none" w:sz="0" w:space="0" w:color="auto"/>
                        <w:right w:val="none" w:sz="0" w:space="0" w:color="auto"/>
                      </w:divBdr>
                      <w:divsChild>
                        <w:div w:id="7755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705790">
      <w:bodyDiv w:val="1"/>
      <w:marLeft w:val="0"/>
      <w:marRight w:val="0"/>
      <w:marTop w:val="0"/>
      <w:marBottom w:val="0"/>
      <w:divBdr>
        <w:top w:val="none" w:sz="0" w:space="0" w:color="auto"/>
        <w:left w:val="none" w:sz="0" w:space="0" w:color="auto"/>
        <w:bottom w:val="none" w:sz="0" w:space="0" w:color="auto"/>
        <w:right w:val="none" w:sz="0" w:space="0" w:color="auto"/>
      </w:divBdr>
    </w:div>
    <w:div w:id="636490905">
      <w:bodyDiv w:val="1"/>
      <w:marLeft w:val="0"/>
      <w:marRight w:val="0"/>
      <w:marTop w:val="0"/>
      <w:marBottom w:val="0"/>
      <w:divBdr>
        <w:top w:val="none" w:sz="0" w:space="0" w:color="auto"/>
        <w:left w:val="none" w:sz="0" w:space="0" w:color="auto"/>
        <w:bottom w:val="none" w:sz="0" w:space="0" w:color="auto"/>
        <w:right w:val="none" w:sz="0" w:space="0" w:color="auto"/>
      </w:divBdr>
    </w:div>
    <w:div w:id="638993282">
      <w:bodyDiv w:val="1"/>
      <w:marLeft w:val="0"/>
      <w:marRight w:val="0"/>
      <w:marTop w:val="0"/>
      <w:marBottom w:val="0"/>
      <w:divBdr>
        <w:top w:val="none" w:sz="0" w:space="0" w:color="auto"/>
        <w:left w:val="none" w:sz="0" w:space="0" w:color="auto"/>
        <w:bottom w:val="none" w:sz="0" w:space="0" w:color="auto"/>
        <w:right w:val="none" w:sz="0" w:space="0" w:color="auto"/>
      </w:divBdr>
    </w:div>
    <w:div w:id="647978463">
      <w:bodyDiv w:val="1"/>
      <w:marLeft w:val="0"/>
      <w:marRight w:val="0"/>
      <w:marTop w:val="0"/>
      <w:marBottom w:val="0"/>
      <w:divBdr>
        <w:top w:val="none" w:sz="0" w:space="0" w:color="auto"/>
        <w:left w:val="none" w:sz="0" w:space="0" w:color="auto"/>
        <w:bottom w:val="none" w:sz="0" w:space="0" w:color="auto"/>
        <w:right w:val="none" w:sz="0" w:space="0" w:color="auto"/>
      </w:divBdr>
    </w:div>
    <w:div w:id="649554508">
      <w:bodyDiv w:val="1"/>
      <w:marLeft w:val="0"/>
      <w:marRight w:val="0"/>
      <w:marTop w:val="0"/>
      <w:marBottom w:val="0"/>
      <w:divBdr>
        <w:top w:val="none" w:sz="0" w:space="0" w:color="auto"/>
        <w:left w:val="none" w:sz="0" w:space="0" w:color="auto"/>
        <w:bottom w:val="none" w:sz="0" w:space="0" w:color="auto"/>
        <w:right w:val="none" w:sz="0" w:space="0" w:color="auto"/>
      </w:divBdr>
    </w:div>
    <w:div w:id="686180930">
      <w:bodyDiv w:val="1"/>
      <w:marLeft w:val="0"/>
      <w:marRight w:val="0"/>
      <w:marTop w:val="0"/>
      <w:marBottom w:val="0"/>
      <w:divBdr>
        <w:top w:val="none" w:sz="0" w:space="0" w:color="auto"/>
        <w:left w:val="none" w:sz="0" w:space="0" w:color="auto"/>
        <w:bottom w:val="none" w:sz="0" w:space="0" w:color="auto"/>
        <w:right w:val="none" w:sz="0" w:space="0" w:color="auto"/>
      </w:divBdr>
    </w:div>
    <w:div w:id="693384010">
      <w:bodyDiv w:val="1"/>
      <w:marLeft w:val="0"/>
      <w:marRight w:val="0"/>
      <w:marTop w:val="0"/>
      <w:marBottom w:val="0"/>
      <w:divBdr>
        <w:top w:val="none" w:sz="0" w:space="0" w:color="auto"/>
        <w:left w:val="none" w:sz="0" w:space="0" w:color="auto"/>
        <w:bottom w:val="none" w:sz="0" w:space="0" w:color="auto"/>
        <w:right w:val="none" w:sz="0" w:space="0" w:color="auto"/>
      </w:divBdr>
    </w:div>
    <w:div w:id="696125530">
      <w:bodyDiv w:val="1"/>
      <w:marLeft w:val="0"/>
      <w:marRight w:val="0"/>
      <w:marTop w:val="0"/>
      <w:marBottom w:val="0"/>
      <w:divBdr>
        <w:top w:val="none" w:sz="0" w:space="0" w:color="auto"/>
        <w:left w:val="none" w:sz="0" w:space="0" w:color="auto"/>
        <w:bottom w:val="none" w:sz="0" w:space="0" w:color="auto"/>
        <w:right w:val="none" w:sz="0" w:space="0" w:color="auto"/>
      </w:divBdr>
    </w:div>
    <w:div w:id="702822960">
      <w:bodyDiv w:val="1"/>
      <w:marLeft w:val="0"/>
      <w:marRight w:val="0"/>
      <w:marTop w:val="0"/>
      <w:marBottom w:val="0"/>
      <w:divBdr>
        <w:top w:val="none" w:sz="0" w:space="0" w:color="auto"/>
        <w:left w:val="none" w:sz="0" w:space="0" w:color="auto"/>
        <w:bottom w:val="none" w:sz="0" w:space="0" w:color="auto"/>
        <w:right w:val="none" w:sz="0" w:space="0" w:color="auto"/>
      </w:divBdr>
    </w:div>
    <w:div w:id="714541959">
      <w:bodyDiv w:val="1"/>
      <w:marLeft w:val="0"/>
      <w:marRight w:val="0"/>
      <w:marTop w:val="0"/>
      <w:marBottom w:val="0"/>
      <w:divBdr>
        <w:top w:val="none" w:sz="0" w:space="0" w:color="auto"/>
        <w:left w:val="none" w:sz="0" w:space="0" w:color="auto"/>
        <w:bottom w:val="none" w:sz="0" w:space="0" w:color="auto"/>
        <w:right w:val="none" w:sz="0" w:space="0" w:color="auto"/>
      </w:divBdr>
    </w:div>
    <w:div w:id="724376252">
      <w:bodyDiv w:val="1"/>
      <w:marLeft w:val="0"/>
      <w:marRight w:val="0"/>
      <w:marTop w:val="0"/>
      <w:marBottom w:val="0"/>
      <w:divBdr>
        <w:top w:val="none" w:sz="0" w:space="0" w:color="auto"/>
        <w:left w:val="none" w:sz="0" w:space="0" w:color="auto"/>
        <w:bottom w:val="none" w:sz="0" w:space="0" w:color="auto"/>
        <w:right w:val="none" w:sz="0" w:space="0" w:color="auto"/>
      </w:divBdr>
    </w:div>
    <w:div w:id="725879417">
      <w:bodyDiv w:val="1"/>
      <w:marLeft w:val="0"/>
      <w:marRight w:val="0"/>
      <w:marTop w:val="0"/>
      <w:marBottom w:val="0"/>
      <w:divBdr>
        <w:top w:val="none" w:sz="0" w:space="0" w:color="auto"/>
        <w:left w:val="none" w:sz="0" w:space="0" w:color="auto"/>
        <w:bottom w:val="none" w:sz="0" w:space="0" w:color="auto"/>
        <w:right w:val="none" w:sz="0" w:space="0" w:color="auto"/>
      </w:divBdr>
      <w:divsChild>
        <w:div w:id="1887795163">
          <w:marLeft w:val="0"/>
          <w:marRight w:val="0"/>
          <w:marTop w:val="0"/>
          <w:marBottom w:val="0"/>
          <w:divBdr>
            <w:top w:val="none" w:sz="0" w:space="0" w:color="auto"/>
            <w:left w:val="none" w:sz="0" w:space="0" w:color="auto"/>
            <w:bottom w:val="none" w:sz="0" w:space="0" w:color="auto"/>
            <w:right w:val="none" w:sz="0" w:space="0" w:color="auto"/>
          </w:divBdr>
          <w:divsChild>
            <w:div w:id="475025893">
              <w:marLeft w:val="0"/>
              <w:marRight w:val="0"/>
              <w:marTop w:val="0"/>
              <w:marBottom w:val="0"/>
              <w:divBdr>
                <w:top w:val="none" w:sz="0" w:space="0" w:color="auto"/>
                <w:left w:val="none" w:sz="0" w:space="0" w:color="auto"/>
                <w:bottom w:val="none" w:sz="0" w:space="0" w:color="auto"/>
                <w:right w:val="none" w:sz="0" w:space="0" w:color="auto"/>
              </w:divBdr>
              <w:divsChild>
                <w:div w:id="1682581798">
                  <w:marLeft w:val="0"/>
                  <w:marRight w:val="0"/>
                  <w:marTop w:val="0"/>
                  <w:marBottom w:val="0"/>
                  <w:divBdr>
                    <w:top w:val="none" w:sz="0" w:space="0" w:color="auto"/>
                    <w:left w:val="none" w:sz="0" w:space="0" w:color="auto"/>
                    <w:bottom w:val="none" w:sz="0" w:space="0" w:color="auto"/>
                    <w:right w:val="none" w:sz="0" w:space="0" w:color="auto"/>
                  </w:divBdr>
                  <w:divsChild>
                    <w:div w:id="2081247367">
                      <w:marLeft w:val="0"/>
                      <w:marRight w:val="0"/>
                      <w:marTop w:val="0"/>
                      <w:marBottom w:val="0"/>
                      <w:divBdr>
                        <w:top w:val="none" w:sz="0" w:space="0" w:color="auto"/>
                        <w:left w:val="none" w:sz="0" w:space="0" w:color="auto"/>
                        <w:bottom w:val="none" w:sz="0" w:space="0" w:color="auto"/>
                        <w:right w:val="none" w:sz="0" w:space="0" w:color="auto"/>
                      </w:divBdr>
                      <w:divsChild>
                        <w:div w:id="12401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922571">
      <w:bodyDiv w:val="1"/>
      <w:marLeft w:val="0"/>
      <w:marRight w:val="0"/>
      <w:marTop w:val="0"/>
      <w:marBottom w:val="0"/>
      <w:divBdr>
        <w:top w:val="none" w:sz="0" w:space="0" w:color="auto"/>
        <w:left w:val="none" w:sz="0" w:space="0" w:color="auto"/>
        <w:bottom w:val="none" w:sz="0" w:space="0" w:color="auto"/>
        <w:right w:val="none" w:sz="0" w:space="0" w:color="auto"/>
      </w:divBdr>
    </w:div>
    <w:div w:id="745765510">
      <w:bodyDiv w:val="1"/>
      <w:marLeft w:val="0"/>
      <w:marRight w:val="0"/>
      <w:marTop w:val="0"/>
      <w:marBottom w:val="0"/>
      <w:divBdr>
        <w:top w:val="none" w:sz="0" w:space="0" w:color="auto"/>
        <w:left w:val="none" w:sz="0" w:space="0" w:color="auto"/>
        <w:bottom w:val="none" w:sz="0" w:space="0" w:color="auto"/>
        <w:right w:val="none" w:sz="0" w:space="0" w:color="auto"/>
      </w:divBdr>
    </w:div>
    <w:div w:id="754057357">
      <w:bodyDiv w:val="1"/>
      <w:marLeft w:val="0"/>
      <w:marRight w:val="0"/>
      <w:marTop w:val="0"/>
      <w:marBottom w:val="0"/>
      <w:divBdr>
        <w:top w:val="none" w:sz="0" w:space="0" w:color="auto"/>
        <w:left w:val="none" w:sz="0" w:space="0" w:color="auto"/>
        <w:bottom w:val="none" w:sz="0" w:space="0" w:color="auto"/>
        <w:right w:val="none" w:sz="0" w:space="0" w:color="auto"/>
      </w:divBdr>
    </w:div>
    <w:div w:id="755710078">
      <w:bodyDiv w:val="1"/>
      <w:marLeft w:val="0"/>
      <w:marRight w:val="0"/>
      <w:marTop w:val="0"/>
      <w:marBottom w:val="0"/>
      <w:divBdr>
        <w:top w:val="none" w:sz="0" w:space="0" w:color="auto"/>
        <w:left w:val="none" w:sz="0" w:space="0" w:color="auto"/>
        <w:bottom w:val="none" w:sz="0" w:space="0" w:color="auto"/>
        <w:right w:val="none" w:sz="0" w:space="0" w:color="auto"/>
      </w:divBdr>
    </w:div>
    <w:div w:id="762534114">
      <w:bodyDiv w:val="1"/>
      <w:marLeft w:val="0"/>
      <w:marRight w:val="0"/>
      <w:marTop w:val="0"/>
      <w:marBottom w:val="0"/>
      <w:divBdr>
        <w:top w:val="none" w:sz="0" w:space="0" w:color="auto"/>
        <w:left w:val="none" w:sz="0" w:space="0" w:color="auto"/>
        <w:bottom w:val="none" w:sz="0" w:space="0" w:color="auto"/>
        <w:right w:val="none" w:sz="0" w:space="0" w:color="auto"/>
      </w:divBdr>
    </w:div>
    <w:div w:id="771784680">
      <w:bodyDiv w:val="1"/>
      <w:marLeft w:val="0"/>
      <w:marRight w:val="0"/>
      <w:marTop w:val="0"/>
      <w:marBottom w:val="0"/>
      <w:divBdr>
        <w:top w:val="none" w:sz="0" w:space="0" w:color="auto"/>
        <w:left w:val="none" w:sz="0" w:space="0" w:color="auto"/>
        <w:bottom w:val="none" w:sz="0" w:space="0" w:color="auto"/>
        <w:right w:val="none" w:sz="0" w:space="0" w:color="auto"/>
      </w:divBdr>
    </w:div>
    <w:div w:id="778841521">
      <w:bodyDiv w:val="1"/>
      <w:marLeft w:val="1440"/>
      <w:marRight w:val="1440"/>
      <w:marTop w:val="1440"/>
      <w:marBottom w:val="1440"/>
      <w:divBdr>
        <w:top w:val="none" w:sz="0" w:space="0" w:color="auto"/>
        <w:left w:val="none" w:sz="0" w:space="0" w:color="auto"/>
        <w:bottom w:val="none" w:sz="0" w:space="0" w:color="auto"/>
        <w:right w:val="none" w:sz="0" w:space="0" w:color="auto"/>
      </w:divBdr>
    </w:div>
    <w:div w:id="789663556">
      <w:bodyDiv w:val="1"/>
      <w:marLeft w:val="0"/>
      <w:marRight w:val="0"/>
      <w:marTop w:val="0"/>
      <w:marBottom w:val="0"/>
      <w:divBdr>
        <w:top w:val="none" w:sz="0" w:space="0" w:color="auto"/>
        <w:left w:val="none" w:sz="0" w:space="0" w:color="auto"/>
        <w:bottom w:val="none" w:sz="0" w:space="0" w:color="auto"/>
        <w:right w:val="none" w:sz="0" w:space="0" w:color="auto"/>
      </w:divBdr>
    </w:div>
    <w:div w:id="793643831">
      <w:bodyDiv w:val="1"/>
      <w:marLeft w:val="0"/>
      <w:marRight w:val="0"/>
      <w:marTop w:val="0"/>
      <w:marBottom w:val="0"/>
      <w:divBdr>
        <w:top w:val="none" w:sz="0" w:space="0" w:color="auto"/>
        <w:left w:val="none" w:sz="0" w:space="0" w:color="auto"/>
        <w:bottom w:val="none" w:sz="0" w:space="0" w:color="auto"/>
        <w:right w:val="none" w:sz="0" w:space="0" w:color="auto"/>
      </w:divBdr>
    </w:div>
    <w:div w:id="809707322">
      <w:bodyDiv w:val="1"/>
      <w:marLeft w:val="0"/>
      <w:marRight w:val="0"/>
      <w:marTop w:val="0"/>
      <w:marBottom w:val="0"/>
      <w:divBdr>
        <w:top w:val="none" w:sz="0" w:space="0" w:color="auto"/>
        <w:left w:val="none" w:sz="0" w:space="0" w:color="auto"/>
        <w:bottom w:val="none" w:sz="0" w:space="0" w:color="auto"/>
        <w:right w:val="none" w:sz="0" w:space="0" w:color="auto"/>
      </w:divBdr>
    </w:div>
    <w:div w:id="832405148">
      <w:bodyDiv w:val="1"/>
      <w:marLeft w:val="0"/>
      <w:marRight w:val="0"/>
      <w:marTop w:val="0"/>
      <w:marBottom w:val="0"/>
      <w:divBdr>
        <w:top w:val="none" w:sz="0" w:space="0" w:color="auto"/>
        <w:left w:val="none" w:sz="0" w:space="0" w:color="auto"/>
        <w:bottom w:val="none" w:sz="0" w:space="0" w:color="auto"/>
        <w:right w:val="none" w:sz="0" w:space="0" w:color="auto"/>
      </w:divBdr>
      <w:divsChild>
        <w:div w:id="1152060323">
          <w:marLeft w:val="0"/>
          <w:marRight w:val="0"/>
          <w:marTop w:val="0"/>
          <w:marBottom w:val="0"/>
          <w:divBdr>
            <w:top w:val="none" w:sz="0" w:space="0" w:color="auto"/>
            <w:left w:val="none" w:sz="0" w:space="0" w:color="auto"/>
            <w:bottom w:val="none" w:sz="0" w:space="0" w:color="auto"/>
            <w:right w:val="none" w:sz="0" w:space="0" w:color="auto"/>
          </w:divBdr>
        </w:div>
      </w:divsChild>
    </w:div>
    <w:div w:id="848131990">
      <w:bodyDiv w:val="1"/>
      <w:marLeft w:val="0"/>
      <w:marRight w:val="0"/>
      <w:marTop w:val="0"/>
      <w:marBottom w:val="0"/>
      <w:divBdr>
        <w:top w:val="none" w:sz="0" w:space="0" w:color="auto"/>
        <w:left w:val="none" w:sz="0" w:space="0" w:color="auto"/>
        <w:bottom w:val="none" w:sz="0" w:space="0" w:color="auto"/>
        <w:right w:val="none" w:sz="0" w:space="0" w:color="auto"/>
      </w:divBdr>
    </w:div>
    <w:div w:id="855266346">
      <w:bodyDiv w:val="1"/>
      <w:marLeft w:val="0"/>
      <w:marRight w:val="0"/>
      <w:marTop w:val="0"/>
      <w:marBottom w:val="0"/>
      <w:divBdr>
        <w:top w:val="none" w:sz="0" w:space="0" w:color="auto"/>
        <w:left w:val="none" w:sz="0" w:space="0" w:color="auto"/>
        <w:bottom w:val="none" w:sz="0" w:space="0" w:color="auto"/>
        <w:right w:val="none" w:sz="0" w:space="0" w:color="auto"/>
      </w:divBdr>
      <w:divsChild>
        <w:div w:id="1871412367">
          <w:marLeft w:val="0"/>
          <w:marRight w:val="0"/>
          <w:marTop w:val="0"/>
          <w:marBottom w:val="0"/>
          <w:divBdr>
            <w:top w:val="none" w:sz="0" w:space="0" w:color="auto"/>
            <w:left w:val="none" w:sz="0" w:space="0" w:color="auto"/>
            <w:bottom w:val="none" w:sz="0" w:space="0" w:color="auto"/>
            <w:right w:val="none" w:sz="0" w:space="0" w:color="auto"/>
          </w:divBdr>
          <w:divsChild>
            <w:div w:id="2078434958">
              <w:marLeft w:val="0"/>
              <w:marRight w:val="0"/>
              <w:marTop w:val="0"/>
              <w:marBottom w:val="0"/>
              <w:divBdr>
                <w:top w:val="none" w:sz="0" w:space="0" w:color="auto"/>
                <w:left w:val="none" w:sz="0" w:space="0" w:color="auto"/>
                <w:bottom w:val="none" w:sz="0" w:space="0" w:color="auto"/>
                <w:right w:val="none" w:sz="0" w:space="0" w:color="auto"/>
              </w:divBdr>
              <w:divsChild>
                <w:div w:id="80760607">
                  <w:marLeft w:val="0"/>
                  <w:marRight w:val="0"/>
                  <w:marTop w:val="0"/>
                  <w:marBottom w:val="0"/>
                  <w:divBdr>
                    <w:top w:val="none" w:sz="0" w:space="0" w:color="auto"/>
                    <w:left w:val="none" w:sz="0" w:space="0" w:color="auto"/>
                    <w:bottom w:val="none" w:sz="0" w:space="0" w:color="auto"/>
                    <w:right w:val="none" w:sz="0" w:space="0" w:color="auto"/>
                  </w:divBdr>
                  <w:divsChild>
                    <w:div w:id="1935743865">
                      <w:marLeft w:val="0"/>
                      <w:marRight w:val="0"/>
                      <w:marTop w:val="0"/>
                      <w:marBottom w:val="0"/>
                      <w:divBdr>
                        <w:top w:val="none" w:sz="0" w:space="0" w:color="auto"/>
                        <w:left w:val="none" w:sz="0" w:space="0" w:color="auto"/>
                        <w:bottom w:val="none" w:sz="0" w:space="0" w:color="auto"/>
                        <w:right w:val="none" w:sz="0" w:space="0" w:color="auto"/>
                      </w:divBdr>
                      <w:divsChild>
                        <w:div w:id="14273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095897">
      <w:bodyDiv w:val="1"/>
      <w:marLeft w:val="0"/>
      <w:marRight w:val="0"/>
      <w:marTop w:val="0"/>
      <w:marBottom w:val="0"/>
      <w:divBdr>
        <w:top w:val="none" w:sz="0" w:space="0" w:color="auto"/>
        <w:left w:val="none" w:sz="0" w:space="0" w:color="auto"/>
        <w:bottom w:val="none" w:sz="0" w:space="0" w:color="auto"/>
        <w:right w:val="none" w:sz="0" w:space="0" w:color="auto"/>
      </w:divBdr>
    </w:div>
    <w:div w:id="875700127">
      <w:bodyDiv w:val="1"/>
      <w:marLeft w:val="0"/>
      <w:marRight w:val="0"/>
      <w:marTop w:val="0"/>
      <w:marBottom w:val="0"/>
      <w:divBdr>
        <w:top w:val="none" w:sz="0" w:space="0" w:color="auto"/>
        <w:left w:val="none" w:sz="0" w:space="0" w:color="auto"/>
        <w:bottom w:val="none" w:sz="0" w:space="0" w:color="auto"/>
        <w:right w:val="none" w:sz="0" w:space="0" w:color="auto"/>
      </w:divBdr>
    </w:div>
    <w:div w:id="881206186">
      <w:bodyDiv w:val="1"/>
      <w:marLeft w:val="0"/>
      <w:marRight w:val="0"/>
      <w:marTop w:val="0"/>
      <w:marBottom w:val="0"/>
      <w:divBdr>
        <w:top w:val="none" w:sz="0" w:space="0" w:color="auto"/>
        <w:left w:val="none" w:sz="0" w:space="0" w:color="auto"/>
        <w:bottom w:val="none" w:sz="0" w:space="0" w:color="auto"/>
        <w:right w:val="none" w:sz="0" w:space="0" w:color="auto"/>
      </w:divBdr>
    </w:div>
    <w:div w:id="889655253">
      <w:bodyDiv w:val="1"/>
      <w:marLeft w:val="1440"/>
      <w:marRight w:val="1440"/>
      <w:marTop w:val="1440"/>
      <w:marBottom w:val="1440"/>
      <w:divBdr>
        <w:top w:val="none" w:sz="0" w:space="0" w:color="auto"/>
        <w:left w:val="none" w:sz="0" w:space="0" w:color="auto"/>
        <w:bottom w:val="none" w:sz="0" w:space="0" w:color="auto"/>
        <w:right w:val="none" w:sz="0" w:space="0" w:color="auto"/>
      </w:divBdr>
    </w:div>
    <w:div w:id="890843490">
      <w:bodyDiv w:val="1"/>
      <w:marLeft w:val="0"/>
      <w:marRight w:val="0"/>
      <w:marTop w:val="0"/>
      <w:marBottom w:val="0"/>
      <w:divBdr>
        <w:top w:val="none" w:sz="0" w:space="0" w:color="auto"/>
        <w:left w:val="none" w:sz="0" w:space="0" w:color="auto"/>
        <w:bottom w:val="none" w:sz="0" w:space="0" w:color="auto"/>
        <w:right w:val="none" w:sz="0" w:space="0" w:color="auto"/>
      </w:divBdr>
    </w:div>
    <w:div w:id="893275002">
      <w:bodyDiv w:val="1"/>
      <w:marLeft w:val="0"/>
      <w:marRight w:val="0"/>
      <w:marTop w:val="0"/>
      <w:marBottom w:val="0"/>
      <w:divBdr>
        <w:top w:val="none" w:sz="0" w:space="0" w:color="auto"/>
        <w:left w:val="none" w:sz="0" w:space="0" w:color="auto"/>
        <w:bottom w:val="none" w:sz="0" w:space="0" w:color="auto"/>
        <w:right w:val="none" w:sz="0" w:space="0" w:color="auto"/>
      </w:divBdr>
    </w:div>
    <w:div w:id="898981815">
      <w:bodyDiv w:val="1"/>
      <w:marLeft w:val="0"/>
      <w:marRight w:val="0"/>
      <w:marTop w:val="0"/>
      <w:marBottom w:val="0"/>
      <w:divBdr>
        <w:top w:val="none" w:sz="0" w:space="0" w:color="auto"/>
        <w:left w:val="none" w:sz="0" w:space="0" w:color="auto"/>
        <w:bottom w:val="none" w:sz="0" w:space="0" w:color="auto"/>
        <w:right w:val="none" w:sz="0" w:space="0" w:color="auto"/>
      </w:divBdr>
    </w:div>
    <w:div w:id="921909576">
      <w:bodyDiv w:val="1"/>
      <w:marLeft w:val="0"/>
      <w:marRight w:val="0"/>
      <w:marTop w:val="0"/>
      <w:marBottom w:val="0"/>
      <w:divBdr>
        <w:top w:val="none" w:sz="0" w:space="0" w:color="auto"/>
        <w:left w:val="none" w:sz="0" w:space="0" w:color="auto"/>
        <w:bottom w:val="none" w:sz="0" w:space="0" w:color="auto"/>
        <w:right w:val="none" w:sz="0" w:space="0" w:color="auto"/>
      </w:divBdr>
      <w:divsChild>
        <w:div w:id="1162238727">
          <w:marLeft w:val="0"/>
          <w:marRight w:val="0"/>
          <w:marTop w:val="0"/>
          <w:marBottom w:val="0"/>
          <w:divBdr>
            <w:top w:val="none" w:sz="0" w:space="0" w:color="auto"/>
            <w:left w:val="none" w:sz="0" w:space="0" w:color="auto"/>
            <w:bottom w:val="none" w:sz="0" w:space="0" w:color="auto"/>
            <w:right w:val="none" w:sz="0" w:space="0" w:color="auto"/>
          </w:divBdr>
          <w:divsChild>
            <w:div w:id="1788230892">
              <w:marLeft w:val="0"/>
              <w:marRight w:val="0"/>
              <w:marTop w:val="0"/>
              <w:marBottom w:val="0"/>
              <w:divBdr>
                <w:top w:val="none" w:sz="0" w:space="0" w:color="auto"/>
                <w:left w:val="none" w:sz="0" w:space="0" w:color="auto"/>
                <w:bottom w:val="none" w:sz="0" w:space="0" w:color="auto"/>
                <w:right w:val="none" w:sz="0" w:space="0" w:color="auto"/>
              </w:divBdr>
              <w:divsChild>
                <w:div w:id="232857488">
                  <w:marLeft w:val="0"/>
                  <w:marRight w:val="0"/>
                  <w:marTop w:val="0"/>
                  <w:marBottom w:val="0"/>
                  <w:divBdr>
                    <w:top w:val="none" w:sz="0" w:space="0" w:color="auto"/>
                    <w:left w:val="none" w:sz="0" w:space="0" w:color="auto"/>
                    <w:bottom w:val="none" w:sz="0" w:space="0" w:color="auto"/>
                    <w:right w:val="none" w:sz="0" w:space="0" w:color="auto"/>
                  </w:divBdr>
                  <w:divsChild>
                    <w:div w:id="89395989">
                      <w:marLeft w:val="0"/>
                      <w:marRight w:val="0"/>
                      <w:marTop w:val="0"/>
                      <w:marBottom w:val="0"/>
                      <w:divBdr>
                        <w:top w:val="none" w:sz="0" w:space="0" w:color="auto"/>
                        <w:left w:val="none" w:sz="0" w:space="0" w:color="auto"/>
                        <w:bottom w:val="none" w:sz="0" w:space="0" w:color="auto"/>
                        <w:right w:val="none" w:sz="0" w:space="0" w:color="auto"/>
                      </w:divBdr>
                      <w:divsChild>
                        <w:div w:id="2971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218741">
      <w:bodyDiv w:val="1"/>
      <w:marLeft w:val="0"/>
      <w:marRight w:val="0"/>
      <w:marTop w:val="0"/>
      <w:marBottom w:val="0"/>
      <w:divBdr>
        <w:top w:val="none" w:sz="0" w:space="0" w:color="auto"/>
        <w:left w:val="none" w:sz="0" w:space="0" w:color="auto"/>
        <w:bottom w:val="none" w:sz="0" w:space="0" w:color="auto"/>
        <w:right w:val="none" w:sz="0" w:space="0" w:color="auto"/>
      </w:divBdr>
    </w:div>
    <w:div w:id="927732055">
      <w:bodyDiv w:val="1"/>
      <w:marLeft w:val="0"/>
      <w:marRight w:val="0"/>
      <w:marTop w:val="0"/>
      <w:marBottom w:val="0"/>
      <w:divBdr>
        <w:top w:val="none" w:sz="0" w:space="0" w:color="auto"/>
        <w:left w:val="none" w:sz="0" w:space="0" w:color="auto"/>
        <w:bottom w:val="none" w:sz="0" w:space="0" w:color="auto"/>
        <w:right w:val="none" w:sz="0" w:space="0" w:color="auto"/>
      </w:divBdr>
    </w:div>
    <w:div w:id="931864299">
      <w:bodyDiv w:val="1"/>
      <w:marLeft w:val="0"/>
      <w:marRight w:val="0"/>
      <w:marTop w:val="0"/>
      <w:marBottom w:val="0"/>
      <w:divBdr>
        <w:top w:val="none" w:sz="0" w:space="0" w:color="auto"/>
        <w:left w:val="none" w:sz="0" w:space="0" w:color="auto"/>
        <w:bottom w:val="none" w:sz="0" w:space="0" w:color="auto"/>
        <w:right w:val="none" w:sz="0" w:space="0" w:color="auto"/>
      </w:divBdr>
    </w:div>
    <w:div w:id="938027942">
      <w:bodyDiv w:val="1"/>
      <w:marLeft w:val="0"/>
      <w:marRight w:val="0"/>
      <w:marTop w:val="0"/>
      <w:marBottom w:val="0"/>
      <w:divBdr>
        <w:top w:val="none" w:sz="0" w:space="0" w:color="auto"/>
        <w:left w:val="none" w:sz="0" w:space="0" w:color="auto"/>
        <w:bottom w:val="none" w:sz="0" w:space="0" w:color="auto"/>
        <w:right w:val="none" w:sz="0" w:space="0" w:color="auto"/>
      </w:divBdr>
    </w:div>
    <w:div w:id="941954308">
      <w:bodyDiv w:val="1"/>
      <w:marLeft w:val="0"/>
      <w:marRight w:val="0"/>
      <w:marTop w:val="0"/>
      <w:marBottom w:val="0"/>
      <w:divBdr>
        <w:top w:val="none" w:sz="0" w:space="0" w:color="auto"/>
        <w:left w:val="none" w:sz="0" w:space="0" w:color="auto"/>
        <w:bottom w:val="none" w:sz="0" w:space="0" w:color="auto"/>
        <w:right w:val="none" w:sz="0" w:space="0" w:color="auto"/>
      </w:divBdr>
    </w:div>
    <w:div w:id="944311881">
      <w:bodyDiv w:val="1"/>
      <w:marLeft w:val="0"/>
      <w:marRight w:val="0"/>
      <w:marTop w:val="0"/>
      <w:marBottom w:val="0"/>
      <w:divBdr>
        <w:top w:val="none" w:sz="0" w:space="0" w:color="auto"/>
        <w:left w:val="none" w:sz="0" w:space="0" w:color="auto"/>
        <w:bottom w:val="none" w:sz="0" w:space="0" w:color="auto"/>
        <w:right w:val="none" w:sz="0" w:space="0" w:color="auto"/>
      </w:divBdr>
      <w:divsChild>
        <w:div w:id="1447851481">
          <w:marLeft w:val="0"/>
          <w:marRight w:val="0"/>
          <w:marTop w:val="0"/>
          <w:marBottom w:val="0"/>
          <w:divBdr>
            <w:top w:val="none" w:sz="0" w:space="0" w:color="auto"/>
            <w:left w:val="none" w:sz="0" w:space="0" w:color="auto"/>
            <w:bottom w:val="none" w:sz="0" w:space="0" w:color="auto"/>
            <w:right w:val="none" w:sz="0" w:space="0" w:color="auto"/>
          </w:divBdr>
          <w:divsChild>
            <w:div w:id="1159999233">
              <w:marLeft w:val="0"/>
              <w:marRight w:val="0"/>
              <w:marTop w:val="0"/>
              <w:marBottom w:val="0"/>
              <w:divBdr>
                <w:top w:val="none" w:sz="0" w:space="0" w:color="auto"/>
                <w:left w:val="none" w:sz="0" w:space="0" w:color="auto"/>
                <w:bottom w:val="none" w:sz="0" w:space="0" w:color="auto"/>
                <w:right w:val="none" w:sz="0" w:space="0" w:color="auto"/>
              </w:divBdr>
              <w:divsChild>
                <w:div w:id="30425281">
                  <w:marLeft w:val="0"/>
                  <w:marRight w:val="0"/>
                  <w:marTop w:val="0"/>
                  <w:marBottom w:val="0"/>
                  <w:divBdr>
                    <w:top w:val="none" w:sz="0" w:space="0" w:color="auto"/>
                    <w:left w:val="none" w:sz="0" w:space="0" w:color="auto"/>
                    <w:bottom w:val="none" w:sz="0" w:space="0" w:color="auto"/>
                    <w:right w:val="none" w:sz="0" w:space="0" w:color="auto"/>
                  </w:divBdr>
                  <w:divsChild>
                    <w:div w:id="119424902">
                      <w:marLeft w:val="0"/>
                      <w:marRight w:val="0"/>
                      <w:marTop w:val="0"/>
                      <w:marBottom w:val="0"/>
                      <w:divBdr>
                        <w:top w:val="none" w:sz="0" w:space="0" w:color="auto"/>
                        <w:left w:val="none" w:sz="0" w:space="0" w:color="auto"/>
                        <w:bottom w:val="none" w:sz="0" w:space="0" w:color="auto"/>
                        <w:right w:val="none" w:sz="0" w:space="0" w:color="auto"/>
                      </w:divBdr>
                      <w:divsChild>
                        <w:div w:id="700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970398">
      <w:bodyDiv w:val="1"/>
      <w:marLeft w:val="0"/>
      <w:marRight w:val="0"/>
      <w:marTop w:val="0"/>
      <w:marBottom w:val="0"/>
      <w:divBdr>
        <w:top w:val="none" w:sz="0" w:space="0" w:color="auto"/>
        <w:left w:val="none" w:sz="0" w:space="0" w:color="auto"/>
        <w:bottom w:val="none" w:sz="0" w:space="0" w:color="auto"/>
        <w:right w:val="none" w:sz="0" w:space="0" w:color="auto"/>
      </w:divBdr>
    </w:div>
    <w:div w:id="974330293">
      <w:bodyDiv w:val="1"/>
      <w:marLeft w:val="0"/>
      <w:marRight w:val="0"/>
      <w:marTop w:val="0"/>
      <w:marBottom w:val="0"/>
      <w:divBdr>
        <w:top w:val="none" w:sz="0" w:space="0" w:color="auto"/>
        <w:left w:val="none" w:sz="0" w:space="0" w:color="auto"/>
        <w:bottom w:val="none" w:sz="0" w:space="0" w:color="auto"/>
        <w:right w:val="none" w:sz="0" w:space="0" w:color="auto"/>
      </w:divBdr>
    </w:div>
    <w:div w:id="998926555">
      <w:bodyDiv w:val="1"/>
      <w:marLeft w:val="0"/>
      <w:marRight w:val="0"/>
      <w:marTop w:val="0"/>
      <w:marBottom w:val="0"/>
      <w:divBdr>
        <w:top w:val="none" w:sz="0" w:space="0" w:color="auto"/>
        <w:left w:val="none" w:sz="0" w:space="0" w:color="auto"/>
        <w:bottom w:val="none" w:sz="0" w:space="0" w:color="auto"/>
        <w:right w:val="none" w:sz="0" w:space="0" w:color="auto"/>
      </w:divBdr>
    </w:div>
    <w:div w:id="1010522245">
      <w:bodyDiv w:val="1"/>
      <w:marLeft w:val="0"/>
      <w:marRight w:val="0"/>
      <w:marTop w:val="0"/>
      <w:marBottom w:val="0"/>
      <w:divBdr>
        <w:top w:val="none" w:sz="0" w:space="0" w:color="auto"/>
        <w:left w:val="none" w:sz="0" w:space="0" w:color="auto"/>
        <w:bottom w:val="none" w:sz="0" w:space="0" w:color="auto"/>
        <w:right w:val="none" w:sz="0" w:space="0" w:color="auto"/>
      </w:divBdr>
    </w:div>
    <w:div w:id="1012411677">
      <w:bodyDiv w:val="1"/>
      <w:marLeft w:val="0"/>
      <w:marRight w:val="0"/>
      <w:marTop w:val="0"/>
      <w:marBottom w:val="0"/>
      <w:divBdr>
        <w:top w:val="none" w:sz="0" w:space="0" w:color="auto"/>
        <w:left w:val="none" w:sz="0" w:space="0" w:color="auto"/>
        <w:bottom w:val="none" w:sz="0" w:space="0" w:color="auto"/>
        <w:right w:val="none" w:sz="0" w:space="0" w:color="auto"/>
      </w:divBdr>
      <w:divsChild>
        <w:div w:id="1232430059">
          <w:marLeft w:val="0"/>
          <w:marRight w:val="0"/>
          <w:marTop w:val="0"/>
          <w:marBottom w:val="0"/>
          <w:divBdr>
            <w:top w:val="none" w:sz="0" w:space="0" w:color="auto"/>
            <w:left w:val="none" w:sz="0" w:space="0" w:color="auto"/>
            <w:bottom w:val="none" w:sz="0" w:space="0" w:color="auto"/>
            <w:right w:val="none" w:sz="0" w:space="0" w:color="auto"/>
          </w:divBdr>
        </w:div>
      </w:divsChild>
    </w:div>
    <w:div w:id="1013383342">
      <w:bodyDiv w:val="1"/>
      <w:marLeft w:val="0"/>
      <w:marRight w:val="0"/>
      <w:marTop w:val="0"/>
      <w:marBottom w:val="0"/>
      <w:divBdr>
        <w:top w:val="none" w:sz="0" w:space="0" w:color="auto"/>
        <w:left w:val="none" w:sz="0" w:space="0" w:color="auto"/>
        <w:bottom w:val="none" w:sz="0" w:space="0" w:color="auto"/>
        <w:right w:val="none" w:sz="0" w:space="0" w:color="auto"/>
      </w:divBdr>
    </w:div>
    <w:div w:id="1029379033">
      <w:bodyDiv w:val="1"/>
      <w:marLeft w:val="0"/>
      <w:marRight w:val="0"/>
      <w:marTop w:val="0"/>
      <w:marBottom w:val="0"/>
      <w:divBdr>
        <w:top w:val="none" w:sz="0" w:space="0" w:color="auto"/>
        <w:left w:val="none" w:sz="0" w:space="0" w:color="auto"/>
        <w:bottom w:val="none" w:sz="0" w:space="0" w:color="auto"/>
        <w:right w:val="none" w:sz="0" w:space="0" w:color="auto"/>
      </w:divBdr>
    </w:div>
    <w:div w:id="1029768616">
      <w:bodyDiv w:val="1"/>
      <w:marLeft w:val="0"/>
      <w:marRight w:val="0"/>
      <w:marTop w:val="0"/>
      <w:marBottom w:val="0"/>
      <w:divBdr>
        <w:top w:val="none" w:sz="0" w:space="0" w:color="auto"/>
        <w:left w:val="none" w:sz="0" w:space="0" w:color="auto"/>
        <w:bottom w:val="none" w:sz="0" w:space="0" w:color="auto"/>
        <w:right w:val="none" w:sz="0" w:space="0" w:color="auto"/>
      </w:divBdr>
    </w:div>
    <w:div w:id="1031951199">
      <w:bodyDiv w:val="1"/>
      <w:marLeft w:val="0"/>
      <w:marRight w:val="0"/>
      <w:marTop w:val="0"/>
      <w:marBottom w:val="0"/>
      <w:divBdr>
        <w:top w:val="none" w:sz="0" w:space="0" w:color="auto"/>
        <w:left w:val="none" w:sz="0" w:space="0" w:color="auto"/>
        <w:bottom w:val="none" w:sz="0" w:space="0" w:color="auto"/>
        <w:right w:val="none" w:sz="0" w:space="0" w:color="auto"/>
      </w:divBdr>
    </w:div>
    <w:div w:id="1032614985">
      <w:bodyDiv w:val="1"/>
      <w:marLeft w:val="0"/>
      <w:marRight w:val="0"/>
      <w:marTop w:val="0"/>
      <w:marBottom w:val="0"/>
      <w:divBdr>
        <w:top w:val="none" w:sz="0" w:space="0" w:color="auto"/>
        <w:left w:val="none" w:sz="0" w:space="0" w:color="auto"/>
        <w:bottom w:val="none" w:sz="0" w:space="0" w:color="auto"/>
        <w:right w:val="none" w:sz="0" w:space="0" w:color="auto"/>
      </w:divBdr>
    </w:div>
    <w:div w:id="1044453277">
      <w:bodyDiv w:val="1"/>
      <w:marLeft w:val="0"/>
      <w:marRight w:val="0"/>
      <w:marTop w:val="0"/>
      <w:marBottom w:val="0"/>
      <w:divBdr>
        <w:top w:val="none" w:sz="0" w:space="0" w:color="auto"/>
        <w:left w:val="none" w:sz="0" w:space="0" w:color="auto"/>
        <w:bottom w:val="none" w:sz="0" w:space="0" w:color="auto"/>
        <w:right w:val="none" w:sz="0" w:space="0" w:color="auto"/>
      </w:divBdr>
    </w:div>
    <w:div w:id="1044908151">
      <w:bodyDiv w:val="1"/>
      <w:marLeft w:val="0"/>
      <w:marRight w:val="0"/>
      <w:marTop w:val="0"/>
      <w:marBottom w:val="0"/>
      <w:divBdr>
        <w:top w:val="none" w:sz="0" w:space="0" w:color="auto"/>
        <w:left w:val="none" w:sz="0" w:space="0" w:color="auto"/>
        <w:bottom w:val="none" w:sz="0" w:space="0" w:color="auto"/>
        <w:right w:val="none" w:sz="0" w:space="0" w:color="auto"/>
      </w:divBdr>
    </w:div>
    <w:div w:id="1047993623">
      <w:bodyDiv w:val="1"/>
      <w:marLeft w:val="1440"/>
      <w:marRight w:val="1440"/>
      <w:marTop w:val="1440"/>
      <w:marBottom w:val="1440"/>
      <w:divBdr>
        <w:top w:val="none" w:sz="0" w:space="0" w:color="auto"/>
        <w:left w:val="none" w:sz="0" w:space="0" w:color="auto"/>
        <w:bottom w:val="none" w:sz="0" w:space="0" w:color="auto"/>
        <w:right w:val="none" w:sz="0" w:space="0" w:color="auto"/>
      </w:divBdr>
    </w:div>
    <w:div w:id="1056471972">
      <w:bodyDiv w:val="1"/>
      <w:marLeft w:val="0"/>
      <w:marRight w:val="0"/>
      <w:marTop w:val="0"/>
      <w:marBottom w:val="0"/>
      <w:divBdr>
        <w:top w:val="none" w:sz="0" w:space="0" w:color="auto"/>
        <w:left w:val="none" w:sz="0" w:space="0" w:color="auto"/>
        <w:bottom w:val="none" w:sz="0" w:space="0" w:color="auto"/>
        <w:right w:val="none" w:sz="0" w:space="0" w:color="auto"/>
      </w:divBdr>
    </w:div>
    <w:div w:id="1077753934">
      <w:bodyDiv w:val="1"/>
      <w:marLeft w:val="0"/>
      <w:marRight w:val="0"/>
      <w:marTop w:val="0"/>
      <w:marBottom w:val="0"/>
      <w:divBdr>
        <w:top w:val="none" w:sz="0" w:space="0" w:color="auto"/>
        <w:left w:val="none" w:sz="0" w:space="0" w:color="auto"/>
        <w:bottom w:val="none" w:sz="0" w:space="0" w:color="auto"/>
        <w:right w:val="none" w:sz="0" w:space="0" w:color="auto"/>
      </w:divBdr>
    </w:div>
    <w:div w:id="1080641442">
      <w:bodyDiv w:val="1"/>
      <w:marLeft w:val="0"/>
      <w:marRight w:val="0"/>
      <w:marTop w:val="0"/>
      <w:marBottom w:val="0"/>
      <w:divBdr>
        <w:top w:val="none" w:sz="0" w:space="0" w:color="auto"/>
        <w:left w:val="none" w:sz="0" w:space="0" w:color="auto"/>
        <w:bottom w:val="none" w:sz="0" w:space="0" w:color="auto"/>
        <w:right w:val="none" w:sz="0" w:space="0" w:color="auto"/>
      </w:divBdr>
    </w:div>
    <w:div w:id="1085881569">
      <w:bodyDiv w:val="1"/>
      <w:marLeft w:val="0"/>
      <w:marRight w:val="0"/>
      <w:marTop w:val="0"/>
      <w:marBottom w:val="0"/>
      <w:divBdr>
        <w:top w:val="none" w:sz="0" w:space="0" w:color="auto"/>
        <w:left w:val="none" w:sz="0" w:space="0" w:color="auto"/>
        <w:bottom w:val="none" w:sz="0" w:space="0" w:color="auto"/>
        <w:right w:val="none" w:sz="0" w:space="0" w:color="auto"/>
      </w:divBdr>
    </w:div>
    <w:div w:id="1090394166">
      <w:bodyDiv w:val="1"/>
      <w:marLeft w:val="0"/>
      <w:marRight w:val="0"/>
      <w:marTop w:val="0"/>
      <w:marBottom w:val="0"/>
      <w:divBdr>
        <w:top w:val="none" w:sz="0" w:space="0" w:color="auto"/>
        <w:left w:val="none" w:sz="0" w:space="0" w:color="auto"/>
        <w:bottom w:val="none" w:sz="0" w:space="0" w:color="auto"/>
        <w:right w:val="none" w:sz="0" w:space="0" w:color="auto"/>
      </w:divBdr>
    </w:div>
    <w:div w:id="1092580865">
      <w:bodyDiv w:val="1"/>
      <w:marLeft w:val="0"/>
      <w:marRight w:val="0"/>
      <w:marTop w:val="0"/>
      <w:marBottom w:val="0"/>
      <w:divBdr>
        <w:top w:val="none" w:sz="0" w:space="0" w:color="auto"/>
        <w:left w:val="none" w:sz="0" w:space="0" w:color="auto"/>
        <w:bottom w:val="none" w:sz="0" w:space="0" w:color="auto"/>
        <w:right w:val="none" w:sz="0" w:space="0" w:color="auto"/>
      </w:divBdr>
    </w:div>
    <w:div w:id="1102067386">
      <w:bodyDiv w:val="1"/>
      <w:marLeft w:val="0"/>
      <w:marRight w:val="0"/>
      <w:marTop w:val="0"/>
      <w:marBottom w:val="0"/>
      <w:divBdr>
        <w:top w:val="none" w:sz="0" w:space="0" w:color="auto"/>
        <w:left w:val="none" w:sz="0" w:space="0" w:color="auto"/>
        <w:bottom w:val="none" w:sz="0" w:space="0" w:color="auto"/>
        <w:right w:val="none" w:sz="0" w:space="0" w:color="auto"/>
      </w:divBdr>
    </w:div>
    <w:div w:id="1107502200">
      <w:bodyDiv w:val="1"/>
      <w:marLeft w:val="0"/>
      <w:marRight w:val="0"/>
      <w:marTop w:val="0"/>
      <w:marBottom w:val="0"/>
      <w:divBdr>
        <w:top w:val="none" w:sz="0" w:space="0" w:color="auto"/>
        <w:left w:val="none" w:sz="0" w:space="0" w:color="auto"/>
        <w:bottom w:val="none" w:sz="0" w:space="0" w:color="auto"/>
        <w:right w:val="none" w:sz="0" w:space="0" w:color="auto"/>
      </w:divBdr>
    </w:div>
    <w:div w:id="1110592139">
      <w:bodyDiv w:val="1"/>
      <w:marLeft w:val="0"/>
      <w:marRight w:val="0"/>
      <w:marTop w:val="0"/>
      <w:marBottom w:val="0"/>
      <w:divBdr>
        <w:top w:val="none" w:sz="0" w:space="0" w:color="auto"/>
        <w:left w:val="none" w:sz="0" w:space="0" w:color="auto"/>
        <w:bottom w:val="none" w:sz="0" w:space="0" w:color="auto"/>
        <w:right w:val="none" w:sz="0" w:space="0" w:color="auto"/>
      </w:divBdr>
    </w:div>
    <w:div w:id="1112288364">
      <w:bodyDiv w:val="1"/>
      <w:marLeft w:val="0"/>
      <w:marRight w:val="0"/>
      <w:marTop w:val="0"/>
      <w:marBottom w:val="0"/>
      <w:divBdr>
        <w:top w:val="none" w:sz="0" w:space="0" w:color="auto"/>
        <w:left w:val="none" w:sz="0" w:space="0" w:color="auto"/>
        <w:bottom w:val="none" w:sz="0" w:space="0" w:color="auto"/>
        <w:right w:val="none" w:sz="0" w:space="0" w:color="auto"/>
      </w:divBdr>
    </w:div>
    <w:div w:id="1119879312">
      <w:bodyDiv w:val="1"/>
      <w:marLeft w:val="0"/>
      <w:marRight w:val="0"/>
      <w:marTop w:val="0"/>
      <w:marBottom w:val="0"/>
      <w:divBdr>
        <w:top w:val="none" w:sz="0" w:space="0" w:color="auto"/>
        <w:left w:val="none" w:sz="0" w:space="0" w:color="auto"/>
        <w:bottom w:val="none" w:sz="0" w:space="0" w:color="auto"/>
        <w:right w:val="none" w:sz="0" w:space="0" w:color="auto"/>
      </w:divBdr>
    </w:div>
    <w:div w:id="1126658581">
      <w:bodyDiv w:val="1"/>
      <w:marLeft w:val="0"/>
      <w:marRight w:val="0"/>
      <w:marTop w:val="0"/>
      <w:marBottom w:val="0"/>
      <w:divBdr>
        <w:top w:val="none" w:sz="0" w:space="0" w:color="auto"/>
        <w:left w:val="none" w:sz="0" w:space="0" w:color="auto"/>
        <w:bottom w:val="none" w:sz="0" w:space="0" w:color="auto"/>
        <w:right w:val="none" w:sz="0" w:space="0" w:color="auto"/>
      </w:divBdr>
    </w:div>
    <w:div w:id="1130977513">
      <w:bodyDiv w:val="1"/>
      <w:marLeft w:val="0"/>
      <w:marRight w:val="0"/>
      <w:marTop w:val="0"/>
      <w:marBottom w:val="0"/>
      <w:divBdr>
        <w:top w:val="none" w:sz="0" w:space="0" w:color="auto"/>
        <w:left w:val="none" w:sz="0" w:space="0" w:color="auto"/>
        <w:bottom w:val="none" w:sz="0" w:space="0" w:color="auto"/>
        <w:right w:val="none" w:sz="0" w:space="0" w:color="auto"/>
      </w:divBdr>
    </w:div>
    <w:div w:id="1132212505">
      <w:bodyDiv w:val="1"/>
      <w:marLeft w:val="0"/>
      <w:marRight w:val="0"/>
      <w:marTop w:val="0"/>
      <w:marBottom w:val="0"/>
      <w:divBdr>
        <w:top w:val="none" w:sz="0" w:space="0" w:color="auto"/>
        <w:left w:val="none" w:sz="0" w:space="0" w:color="auto"/>
        <w:bottom w:val="none" w:sz="0" w:space="0" w:color="auto"/>
        <w:right w:val="none" w:sz="0" w:space="0" w:color="auto"/>
      </w:divBdr>
    </w:div>
    <w:div w:id="1160730928">
      <w:bodyDiv w:val="1"/>
      <w:marLeft w:val="0"/>
      <w:marRight w:val="0"/>
      <w:marTop w:val="0"/>
      <w:marBottom w:val="0"/>
      <w:divBdr>
        <w:top w:val="none" w:sz="0" w:space="0" w:color="auto"/>
        <w:left w:val="none" w:sz="0" w:space="0" w:color="auto"/>
        <w:bottom w:val="none" w:sz="0" w:space="0" w:color="auto"/>
        <w:right w:val="none" w:sz="0" w:space="0" w:color="auto"/>
      </w:divBdr>
    </w:div>
    <w:div w:id="1173446364">
      <w:bodyDiv w:val="1"/>
      <w:marLeft w:val="0"/>
      <w:marRight w:val="0"/>
      <w:marTop w:val="0"/>
      <w:marBottom w:val="0"/>
      <w:divBdr>
        <w:top w:val="none" w:sz="0" w:space="0" w:color="auto"/>
        <w:left w:val="none" w:sz="0" w:space="0" w:color="auto"/>
        <w:bottom w:val="none" w:sz="0" w:space="0" w:color="auto"/>
        <w:right w:val="none" w:sz="0" w:space="0" w:color="auto"/>
      </w:divBdr>
    </w:div>
    <w:div w:id="1176773743">
      <w:bodyDiv w:val="1"/>
      <w:marLeft w:val="1440"/>
      <w:marRight w:val="1440"/>
      <w:marTop w:val="1440"/>
      <w:marBottom w:val="1440"/>
      <w:divBdr>
        <w:top w:val="none" w:sz="0" w:space="0" w:color="auto"/>
        <w:left w:val="none" w:sz="0" w:space="0" w:color="auto"/>
        <w:bottom w:val="none" w:sz="0" w:space="0" w:color="auto"/>
        <w:right w:val="none" w:sz="0" w:space="0" w:color="auto"/>
      </w:divBdr>
    </w:div>
    <w:div w:id="1185166917">
      <w:bodyDiv w:val="1"/>
      <w:marLeft w:val="0"/>
      <w:marRight w:val="0"/>
      <w:marTop w:val="0"/>
      <w:marBottom w:val="0"/>
      <w:divBdr>
        <w:top w:val="none" w:sz="0" w:space="0" w:color="auto"/>
        <w:left w:val="none" w:sz="0" w:space="0" w:color="auto"/>
        <w:bottom w:val="none" w:sz="0" w:space="0" w:color="auto"/>
        <w:right w:val="none" w:sz="0" w:space="0" w:color="auto"/>
      </w:divBdr>
    </w:div>
    <w:div w:id="1204253202">
      <w:bodyDiv w:val="1"/>
      <w:marLeft w:val="0"/>
      <w:marRight w:val="0"/>
      <w:marTop w:val="0"/>
      <w:marBottom w:val="0"/>
      <w:divBdr>
        <w:top w:val="none" w:sz="0" w:space="0" w:color="auto"/>
        <w:left w:val="none" w:sz="0" w:space="0" w:color="auto"/>
        <w:bottom w:val="none" w:sz="0" w:space="0" w:color="auto"/>
        <w:right w:val="none" w:sz="0" w:space="0" w:color="auto"/>
      </w:divBdr>
    </w:div>
    <w:div w:id="1205798273">
      <w:bodyDiv w:val="1"/>
      <w:marLeft w:val="0"/>
      <w:marRight w:val="0"/>
      <w:marTop w:val="0"/>
      <w:marBottom w:val="0"/>
      <w:divBdr>
        <w:top w:val="none" w:sz="0" w:space="0" w:color="auto"/>
        <w:left w:val="none" w:sz="0" w:space="0" w:color="auto"/>
        <w:bottom w:val="none" w:sz="0" w:space="0" w:color="auto"/>
        <w:right w:val="none" w:sz="0" w:space="0" w:color="auto"/>
      </w:divBdr>
    </w:div>
    <w:div w:id="1224953050">
      <w:bodyDiv w:val="1"/>
      <w:marLeft w:val="0"/>
      <w:marRight w:val="0"/>
      <w:marTop w:val="0"/>
      <w:marBottom w:val="0"/>
      <w:divBdr>
        <w:top w:val="none" w:sz="0" w:space="0" w:color="auto"/>
        <w:left w:val="none" w:sz="0" w:space="0" w:color="auto"/>
        <w:bottom w:val="none" w:sz="0" w:space="0" w:color="auto"/>
        <w:right w:val="none" w:sz="0" w:space="0" w:color="auto"/>
      </w:divBdr>
    </w:div>
    <w:div w:id="1251042722">
      <w:bodyDiv w:val="1"/>
      <w:marLeft w:val="0"/>
      <w:marRight w:val="0"/>
      <w:marTop w:val="0"/>
      <w:marBottom w:val="0"/>
      <w:divBdr>
        <w:top w:val="none" w:sz="0" w:space="0" w:color="auto"/>
        <w:left w:val="none" w:sz="0" w:space="0" w:color="auto"/>
        <w:bottom w:val="none" w:sz="0" w:space="0" w:color="auto"/>
        <w:right w:val="none" w:sz="0" w:space="0" w:color="auto"/>
      </w:divBdr>
    </w:div>
    <w:div w:id="1260677817">
      <w:bodyDiv w:val="1"/>
      <w:marLeft w:val="0"/>
      <w:marRight w:val="0"/>
      <w:marTop w:val="0"/>
      <w:marBottom w:val="0"/>
      <w:divBdr>
        <w:top w:val="none" w:sz="0" w:space="0" w:color="auto"/>
        <w:left w:val="none" w:sz="0" w:space="0" w:color="auto"/>
        <w:bottom w:val="none" w:sz="0" w:space="0" w:color="auto"/>
        <w:right w:val="none" w:sz="0" w:space="0" w:color="auto"/>
      </w:divBdr>
    </w:div>
    <w:div w:id="1260914352">
      <w:bodyDiv w:val="1"/>
      <w:marLeft w:val="0"/>
      <w:marRight w:val="0"/>
      <w:marTop w:val="0"/>
      <w:marBottom w:val="0"/>
      <w:divBdr>
        <w:top w:val="none" w:sz="0" w:space="0" w:color="auto"/>
        <w:left w:val="none" w:sz="0" w:space="0" w:color="auto"/>
        <w:bottom w:val="none" w:sz="0" w:space="0" w:color="auto"/>
        <w:right w:val="none" w:sz="0" w:space="0" w:color="auto"/>
      </w:divBdr>
    </w:div>
    <w:div w:id="1268855183">
      <w:bodyDiv w:val="1"/>
      <w:marLeft w:val="0"/>
      <w:marRight w:val="0"/>
      <w:marTop w:val="0"/>
      <w:marBottom w:val="0"/>
      <w:divBdr>
        <w:top w:val="none" w:sz="0" w:space="0" w:color="auto"/>
        <w:left w:val="none" w:sz="0" w:space="0" w:color="auto"/>
        <w:bottom w:val="none" w:sz="0" w:space="0" w:color="auto"/>
        <w:right w:val="none" w:sz="0" w:space="0" w:color="auto"/>
      </w:divBdr>
    </w:div>
    <w:div w:id="1276254074">
      <w:bodyDiv w:val="1"/>
      <w:marLeft w:val="0"/>
      <w:marRight w:val="0"/>
      <w:marTop w:val="0"/>
      <w:marBottom w:val="0"/>
      <w:divBdr>
        <w:top w:val="none" w:sz="0" w:space="0" w:color="auto"/>
        <w:left w:val="none" w:sz="0" w:space="0" w:color="auto"/>
        <w:bottom w:val="none" w:sz="0" w:space="0" w:color="auto"/>
        <w:right w:val="none" w:sz="0" w:space="0" w:color="auto"/>
      </w:divBdr>
    </w:div>
    <w:div w:id="1293900126">
      <w:bodyDiv w:val="1"/>
      <w:marLeft w:val="0"/>
      <w:marRight w:val="0"/>
      <w:marTop w:val="0"/>
      <w:marBottom w:val="0"/>
      <w:divBdr>
        <w:top w:val="none" w:sz="0" w:space="0" w:color="auto"/>
        <w:left w:val="none" w:sz="0" w:space="0" w:color="auto"/>
        <w:bottom w:val="none" w:sz="0" w:space="0" w:color="auto"/>
        <w:right w:val="none" w:sz="0" w:space="0" w:color="auto"/>
      </w:divBdr>
    </w:div>
    <w:div w:id="1296134466">
      <w:bodyDiv w:val="1"/>
      <w:marLeft w:val="0"/>
      <w:marRight w:val="0"/>
      <w:marTop w:val="0"/>
      <w:marBottom w:val="0"/>
      <w:divBdr>
        <w:top w:val="none" w:sz="0" w:space="0" w:color="auto"/>
        <w:left w:val="none" w:sz="0" w:space="0" w:color="auto"/>
        <w:bottom w:val="none" w:sz="0" w:space="0" w:color="auto"/>
        <w:right w:val="none" w:sz="0" w:space="0" w:color="auto"/>
      </w:divBdr>
    </w:div>
    <w:div w:id="1300039144">
      <w:bodyDiv w:val="1"/>
      <w:marLeft w:val="0"/>
      <w:marRight w:val="0"/>
      <w:marTop w:val="0"/>
      <w:marBottom w:val="0"/>
      <w:divBdr>
        <w:top w:val="none" w:sz="0" w:space="0" w:color="auto"/>
        <w:left w:val="none" w:sz="0" w:space="0" w:color="auto"/>
        <w:bottom w:val="none" w:sz="0" w:space="0" w:color="auto"/>
        <w:right w:val="none" w:sz="0" w:space="0" w:color="auto"/>
      </w:divBdr>
    </w:div>
    <w:div w:id="1319726551">
      <w:bodyDiv w:val="1"/>
      <w:marLeft w:val="0"/>
      <w:marRight w:val="0"/>
      <w:marTop w:val="0"/>
      <w:marBottom w:val="0"/>
      <w:divBdr>
        <w:top w:val="none" w:sz="0" w:space="0" w:color="auto"/>
        <w:left w:val="none" w:sz="0" w:space="0" w:color="auto"/>
        <w:bottom w:val="none" w:sz="0" w:space="0" w:color="auto"/>
        <w:right w:val="none" w:sz="0" w:space="0" w:color="auto"/>
      </w:divBdr>
    </w:div>
    <w:div w:id="1321077522">
      <w:bodyDiv w:val="1"/>
      <w:marLeft w:val="0"/>
      <w:marRight w:val="0"/>
      <w:marTop w:val="0"/>
      <w:marBottom w:val="0"/>
      <w:divBdr>
        <w:top w:val="none" w:sz="0" w:space="0" w:color="auto"/>
        <w:left w:val="none" w:sz="0" w:space="0" w:color="auto"/>
        <w:bottom w:val="none" w:sz="0" w:space="0" w:color="auto"/>
        <w:right w:val="none" w:sz="0" w:space="0" w:color="auto"/>
      </w:divBdr>
    </w:div>
    <w:div w:id="1326783646">
      <w:bodyDiv w:val="1"/>
      <w:marLeft w:val="0"/>
      <w:marRight w:val="0"/>
      <w:marTop w:val="0"/>
      <w:marBottom w:val="0"/>
      <w:divBdr>
        <w:top w:val="none" w:sz="0" w:space="0" w:color="auto"/>
        <w:left w:val="none" w:sz="0" w:space="0" w:color="auto"/>
        <w:bottom w:val="none" w:sz="0" w:space="0" w:color="auto"/>
        <w:right w:val="none" w:sz="0" w:space="0" w:color="auto"/>
      </w:divBdr>
    </w:div>
    <w:div w:id="1337655319">
      <w:bodyDiv w:val="1"/>
      <w:marLeft w:val="0"/>
      <w:marRight w:val="0"/>
      <w:marTop w:val="0"/>
      <w:marBottom w:val="0"/>
      <w:divBdr>
        <w:top w:val="none" w:sz="0" w:space="0" w:color="auto"/>
        <w:left w:val="none" w:sz="0" w:space="0" w:color="auto"/>
        <w:bottom w:val="none" w:sz="0" w:space="0" w:color="auto"/>
        <w:right w:val="none" w:sz="0" w:space="0" w:color="auto"/>
      </w:divBdr>
    </w:div>
    <w:div w:id="1349407378">
      <w:bodyDiv w:val="1"/>
      <w:marLeft w:val="0"/>
      <w:marRight w:val="0"/>
      <w:marTop w:val="0"/>
      <w:marBottom w:val="0"/>
      <w:divBdr>
        <w:top w:val="none" w:sz="0" w:space="0" w:color="auto"/>
        <w:left w:val="none" w:sz="0" w:space="0" w:color="auto"/>
        <w:bottom w:val="none" w:sz="0" w:space="0" w:color="auto"/>
        <w:right w:val="none" w:sz="0" w:space="0" w:color="auto"/>
      </w:divBdr>
    </w:div>
    <w:div w:id="1367176241">
      <w:bodyDiv w:val="1"/>
      <w:marLeft w:val="1440"/>
      <w:marRight w:val="1440"/>
      <w:marTop w:val="1440"/>
      <w:marBottom w:val="1440"/>
      <w:divBdr>
        <w:top w:val="none" w:sz="0" w:space="0" w:color="auto"/>
        <w:left w:val="none" w:sz="0" w:space="0" w:color="auto"/>
        <w:bottom w:val="none" w:sz="0" w:space="0" w:color="auto"/>
        <w:right w:val="none" w:sz="0" w:space="0" w:color="auto"/>
      </w:divBdr>
    </w:div>
    <w:div w:id="1386106764">
      <w:bodyDiv w:val="1"/>
      <w:marLeft w:val="0"/>
      <w:marRight w:val="0"/>
      <w:marTop w:val="0"/>
      <w:marBottom w:val="0"/>
      <w:divBdr>
        <w:top w:val="none" w:sz="0" w:space="0" w:color="auto"/>
        <w:left w:val="none" w:sz="0" w:space="0" w:color="auto"/>
        <w:bottom w:val="none" w:sz="0" w:space="0" w:color="auto"/>
        <w:right w:val="none" w:sz="0" w:space="0" w:color="auto"/>
      </w:divBdr>
    </w:div>
    <w:div w:id="1390887037">
      <w:bodyDiv w:val="1"/>
      <w:marLeft w:val="0"/>
      <w:marRight w:val="0"/>
      <w:marTop w:val="0"/>
      <w:marBottom w:val="0"/>
      <w:divBdr>
        <w:top w:val="none" w:sz="0" w:space="0" w:color="auto"/>
        <w:left w:val="none" w:sz="0" w:space="0" w:color="auto"/>
        <w:bottom w:val="none" w:sz="0" w:space="0" w:color="auto"/>
        <w:right w:val="none" w:sz="0" w:space="0" w:color="auto"/>
      </w:divBdr>
    </w:div>
    <w:div w:id="1400979952">
      <w:bodyDiv w:val="1"/>
      <w:marLeft w:val="0"/>
      <w:marRight w:val="0"/>
      <w:marTop w:val="0"/>
      <w:marBottom w:val="0"/>
      <w:divBdr>
        <w:top w:val="none" w:sz="0" w:space="0" w:color="auto"/>
        <w:left w:val="none" w:sz="0" w:space="0" w:color="auto"/>
        <w:bottom w:val="none" w:sz="0" w:space="0" w:color="auto"/>
        <w:right w:val="none" w:sz="0" w:space="0" w:color="auto"/>
      </w:divBdr>
    </w:div>
    <w:div w:id="1409114534">
      <w:bodyDiv w:val="1"/>
      <w:marLeft w:val="0"/>
      <w:marRight w:val="0"/>
      <w:marTop w:val="0"/>
      <w:marBottom w:val="0"/>
      <w:divBdr>
        <w:top w:val="none" w:sz="0" w:space="0" w:color="auto"/>
        <w:left w:val="none" w:sz="0" w:space="0" w:color="auto"/>
        <w:bottom w:val="none" w:sz="0" w:space="0" w:color="auto"/>
        <w:right w:val="none" w:sz="0" w:space="0" w:color="auto"/>
      </w:divBdr>
    </w:div>
    <w:div w:id="1431582064">
      <w:bodyDiv w:val="1"/>
      <w:marLeft w:val="0"/>
      <w:marRight w:val="0"/>
      <w:marTop w:val="0"/>
      <w:marBottom w:val="0"/>
      <w:divBdr>
        <w:top w:val="none" w:sz="0" w:space="0" w:color="auto"/>
        <w:left w:val="none" w:sz="0" w:space="0" w:color="auto"/>
        <w:bottom w:val="none" w:sz="0" w:space="0" w:color="auto"/>
        <w:right w:val="none" w:sz="0" w:space="0" w:color="auto"/>
      </w:divBdr>
    </w:div>
    <w:div w:id="1443066344">
      <w:bodyDiv w:val="1"/>
      <w:marLeft w:val="0"/>
      <w:marRight w:val="0"/>
      <w:marTop w:val="0"/>
      <w:marBottom w:val="0"/>
      <w:divBdr>
        <w:top w:val="none" w:sz="0" w:space="0" w:color="auto"/>
        <w:left w:val="none" w:sz="0" w:space="0" w:color="auto"/>
        <w:bottom w:val="none" w:sz="0" w:space="0" w:color="auto"/>
        <w:right w:val="none" w:sz="0" w:space="0" w:color="auto"/>
      </w:divBdr>
    </w:div>
    <w:div w:id="1447966939">
      <w:bodyDiv w:val="1"/>
      <w:marLeft w:val="0"/>
      <w:marRight w:val="0"/>
      <w:marTop w:val="0"/>
      <w:marBottom w:val="0"/>
      <w:divBdr>
        <w:top w:val="none" w:sz="0" w:space="0" w:color="auto"/>
        <w:left w:val="none" w:sz="0" w:space="0" w:color="auto"/>
        <w:bottom w:val="none" w:sz="0" w:space="0" w:color="auto"/>
        <w:right w:val="none" w:sz="0" w:space="0" w:color="auto"/>
      </w:divBdr>
    </w:div>
    <w:div w:id="1453405314">
      <w:bodyDiv w:val="1"/>
      <w:marLeft w:val="0"/>
      <w:marRight w:val="0"/>
      <w:marTop w:val="0"/>
      <w:marBottom w:val="0"/>
      <w:divBdr>
        <w:top w:val="none" w:sz="0" w:space="0" w:color="auto"/>
        <w:left w:val="none" w:sz="0" w:space="0" w:color="auto"/>
        <w:bottom w:val="none" w:sz="0" w:space="0" w:color="auto"/>
        <w:right w:val="none" w:sz="0" w:space="0" w:color="auto"/>
      </w:divBdr>
    </w:div>
    <w:div w:id="1461419032">
      <w:bodyDiv w:val="1"/>
      <w:marLeft w:val="0"/>
      <w:marRight w:val="0"/>
      <w:marTop w:val="0"/>
      <w:marBottom w:val="0"/>
      <w:divBdr>
        <w:top w:val="none" w:sz="0" w:space="0" w:color="auto"/>
        <w:left w:val="none" w:sz="0" w:space="0" w:color="auto"/>
        <w:bottom w:val="none" w:sz="0" w:space="0" w:color="auto"/>
        <w:right w:val="none" w:sz="0" w:space="0" w:color="auto"/>
      </w:divBdr>
    </w:div>
    <w:div w:id="1466000410">
      <w:bodyDiv w:val="1"/>
      <w:marLeft w:val="0"/>
      <w:marRight w:val="0"/>
      <w:marTop w:val="0"/>
      <w:marBottom w:val="0"/>
      <w:divBdr>
        <w:top w:val="none" w:sz="0" w:space="0" w:color="auto"/>
        <w:left w:val="none" w:sz="0" w:space="0" w:color="auto"/>
        <w:bottom w:val="none" w:sz="0" w:space="0" w:color="auto"/>
        <w:right w:val="none" w:sz="0" w:space="0" w:color="auto"/>
      </w:divBdr>
    </w:div>
    <w:div w:id="1466773082">
      <w:bodyDiv w:val="1"/>
      <w:marLeft w:val="0"/>
      <w:marRight w:val="0"/>
      <w:marTop w:val="0"/>
      <w:marBottom w:val="0"/>
      <w:divBdr>
        <w:top w:val="none" w:sz="0" w:space="0" w:color="auto"/>
        <w:left w:val="none" w:sz="0" w:space="0" w:color="auto"/>
        <w:bottom w:val="none" w:sz="0" w:space="0" w:color="auto"/>
        <w:right w:val="none" w:sz="0" w:space="0" w:color="auto"/>
      </w:divBdr>
    </w:div>
    <w:div w:id="1468233223">
      <w:bodyDiv w:val="1"/>
      <w:marLeft w:val="1440"/>
      <w:marRight w:val="1440"/>
      <w:marTop w:val="1440"/>
      <w:marBottom w:val="1440"/>
      <w:divBdr>
        <w:top w:val="none" w:sz="0" w:space="0" w:color="auto"/>
        <w:left w:val="none" w:sz="0" w:space="0" w:color="auto"/>
        <w:bottom w:val="none" w:sz="0" w:space="0" w:color="auto"/>
        <w:right w:val="none" w:sz="0" w:space="0" w:color="auto"/>
      </w:divBdr>
    </w:div>
    <w:div w:id="1474251225">
      <w:bodyDiv w:val="1"/>
      <w:marLeft w:val="0"/>
      <w:marRight w:val="0"/>
      <w:marTop w:val="0"/>
      <w:marBottom w:val="0"/>
      <w:divBdr>
        <w:top w:val="none" w:sz="0" w:space="0" w:color="auto"/>
        <w:left w:val="none" w:sz="0" w:space="0" w:color="auto"/>
        <w:bottom w:val="none" w:sz="0" w:space="0" w:color="auto"/>
        <w:right w:val="none" w:sz="0" w:space="0" w:color="auto"/>
      </w:divBdr>
    </w:div>
    <w:div w:id="1482381157">
      <w:bodyDiv w:val="1"/>
      <w:marLeft w:val="0"/>
      <w:marRight w:val="0"/>
      <w:marTop w:val="0"/>
      <w:marBottom w:val="0"/>
      <w:divBdr>
        <w:top w:val="none" w:sz="0" w:space="0" w:color="auto"/>
        <w:left w:val="none" w:sz="0" w:space="0" w:color="auto"/>
        <w:bottom w:val="none" w:sz="0" w:space="0" w:color="auto"/>
        <w:right w:val="none" w:sz="0" w:space="0" w:color="auto"/>
      </w:divBdr>
    </w:div>
    <w:div w:id="1485321509">
      <w:bodyDiv w:val="1"/>
      <w:marLeft w:val="0"/>
      <w:marRight w:val="0"/>
      <w:marTop w:val="0"/>
      <w:marBottom w:val="0"/>
      <w:divBdr>
        <w:top w:val="none" w:sz="0" w:space="0" w:color="auto"/>
        <w:left w:val="none" w:sz="0" w:space="0" w:color="auto"/>
        <w:bottom w:val="none" w:sz="0" w:space="0" w:color="auto"/>
        <w:right w:val="none" w:sz="0" w:space="0" w:color="auto"/>
      </w:divBdr>
    </w:div>
    <w:div w:id="1488864535">
      <w:bodyDiv w:val="1"/>
      <w:marLeft w:val="0"/>
      <w:marRight w:val="0"/>
      <w:marTop w:val="0"/>
      <w:marBottom w:val="0"/>
      <w:divBdr>
        <w:top w:val="none" w:sz="0" w:space="0" w:color="auto"/>
        <w:left w:val="none" w:sz="0" w:space="0" w:color="auto"/>
        <w:bottom w:val="none" w:sz="0" w:space="0" w:color="auto"/>
        <w:right w:val="none" w:sz="0" w:space="0" w:color="auto"/>
      </w:divBdr>
    </w:div>
    <w:div w:id="1498423859">
      <w:bodyDiv w:val="1"/>
      <w:marLeft w:val="0"/>
      <w:marRight w:val="0"/>
      <w:marTop w:val="0"/>
      <w:marBottom w:val="0"/>
      <w:divBdr>
        <w:top w:val="none" w:sz="0" w:space="0" w:color="auto"/>
        <w:left w:val="none" w:sz="0" w:space="0" w:color="auto"/>
        <w:bottom w:val="none" w:sz="0" w:space="0" w:color="auto"/>
        <w:right w:val="none" w:sz="0" w:space="0" w:color="auto"/>
      </w:divBdr>
    </w:div>
    <w:div w:id="1503006148">
      <w:bodyDiv w:val="1"/>
      <w:marLeft w:val="0"/>
      <w:marRight w:val="0"/>
      <w:marTop w:val="0"/>
      <w:marBottom w:val="0"/>
      <w:divBdr>
        <w:top w:val="none" w:sz="0" w:space="0" w:color="auto"/>
        <w:left w:val="none" w:sz="0" w:space="0" w:color="auto"/>
        <w:bottom w:val="none" w:sz="0" w:space="0" w:color="auto"/>
        <w:right w:val="none" w:sz="0" w:space="0" w:color="auto"/>
      </w:divBdr>
    </w:div>
    <w:div w:id="1508669734">
      <w:bodyDiv w:val="1"/>
      <w:marLeft w:val="0"/>
      <w:marRight w:val="0"/>
      <w:marTop w:val="0"/>
      <w:marBottom w:val="0"/>
      <w:divBdr>
        <w:top w:val="none" w:sz="0" w:space="0" w:color="auto"/>
        <w:left w:val="none" w:sz="0" w:space="0" w:color="auto"/>
        <w:bottom w:val="none" w:sz="0" w:space="0" w:color="auto"/>
        <w:right w:val="none" w:sz="0" w:space="0" w:color="auto"/>
      </w:divBdr>
    </w:div>
    <w:div w:id="1510674575">
      <w:bodyDiv w:val="1"/>
      <w:marLeft w:val="0"/>
      <w:marRight w:val="0"/>
      <w:marTop w:val="0"/>
      <w:marBottom w:val="0"/>
      <w:divBdr>
        <w:top w:val="none" w:sz="0" w:space="0" w:color="auto"/>
        <w:left w:val="none" w:sz="0" w:space="0" w:color="auto"/>
        <w:bottom w:val="none" w:sz="0" w:space="0" w:color="auto"/>
        <w:right w:val="none" w:sz="0" w:space="0" w:color="auto"/>
      </w:divBdr>
    </w:div>
    <w:div w:id="1516460845">
      <w:bodyDiv w:val="1"/>
      <w:marLeft w:val="0"/>
      <w:marRight w:val="0"/>
      <w:marTop w:val="0"/>
      <w:marBottom w:val="0"/>
      <w:divBdr>
        <w:top w:val="none" w:sz="0" w:space="0" w:color="auto"/>
        <w:left w:val="none" w:sz="0" w:space="0" w:color="auto"/>
        <w:bottom w:val="none" w:sz="0" w:space="0" w:color="auto"/>
        <w:right w:val="none" w:sz="0" w:space="0" w:color="auto"/>
      </w:divBdr>
    </w:div>
    <w:div w:id="1533877058">
      <w:bodyDiv w:val="1"/>
      <w:marLeft w:val="0"/>
      <w:marRight w:val="0"/>
      <w:marTop w:val="0"/>
      <w:marBottom w:val="0"/>
      <w:divBdr>
        <w:top w:val="none" w:sz="0" w:space="0" w:color="auto"/>
        <w:left w:val="none" w:sz="0" w:space="0" w:color="auto"/>
        <w:bottom w:val="none" w:sz="0" w:space="0" w:color="auto"/>
        <w:right w:val="none" w:sz="0" w:space="0" w:color="auto"/>
      </w:divBdr>
    </w:div>
    <w:div w:id="1544950858">
      <w:bodyDiv w:val="1"/>
      <w:marLeft w:val="0"/>
      <w:marRight w:val="0"/>
      <w:marTop w:val="0"/>
      <w:marBottom w:val="0"/>
      <w:divBdr>
        <w:top w:val="none" w:sz="0" w:space="0" w:color="auto"/>
        <w:left w:val="none" w:sz="0" w:space="0" w:color="auto"/>
        <w:bottom w:val="none" w:sz="0" w:space="0" w:color="auto"/>
        <w:right w:val="none" w:sz="0" w:space="0" w:color="auto"/>
      </w:divBdr>
    </w:div>
    <w:div w:id="1546066055">
      <w:bodyDiv w:val="1"/>
      <w:marLeft w:val="0"/>
      <w:marRight w:val="0"/>
      <w:marTop w:val="0"/>
      <w:marBottom w:val="0"/>
      <w:divBdr>
        <w:top w:val="none" w:sz="0" w:space="0" w:color="auto"/>
        <w:left w:val="none" w:sz="0" w:space="0" w:color="auto"/>
        <w:bottom w:val="none" w:sz="0" w:space="0" w:color="auto"/>
        <w:right w:val="none" w:sz="0" w:space="0" w:color="auto"/>
      </w:divBdr>
    </w:div>
    <w:div w:id="1556621930">
      <w:bodyDiv w:val="1"/>
      <w:marLeft w:val="0"/>
      <w:marRight w:val="0"/>
      <w:marTop w:val="0"/>
      <w:marBottom w:val="0"/>
      <w:divBdr>
        <w:top w:val="none" w:sz="0" w:space="0" w:color="auto"/>
        <w:left w:val="none" w:sz="0" w:space="0" w:color="auto"/>
        <w:bottom w:val="none" w:sz="0" w:space="0" w:color="auto"/>
        <w:right w:val="none" w:sz="0" w:space="0" w:color="auto"/>
      </w:divBdr>
    </w:div>
    <w:div w:id="1583219530">
      <w:bodyDiv w:val="1"/>
      <w:marLeft w:val="0"/>
      <w:marRight w:val="0"/>
      <w:marTop w:val="0"/>
      <w:marBottom w:val="0"/>
      <w:divBdr>
        <w:top w:val="none" w:sz="0" w:space="0" w:color="auto"/>
        <w:left w:val="none" w:sz="0" w:space="0" w:color="auto"/>
        <w:bottom w:val="none" w:sz="0" w:space="0" w:color="auto"/>
        <w:right w:val="none" w:sz="0" w:space="0" w:color="auto"/>
      </w:divBdr>
    </w:div>
    <w:div w:id="1587884867">
      <w:bodyDiv w:val="1"/>
      <w:marLeft w:val="0"/>
      <w:marRight w:val="0"/>
      <w:marTop w:val="0"/>
      <w:marBottom w:val="0"/>
      <w:divBdr>
        <w:top w:val="none" w:sz="0" w:space="0" w:color="auto"/>
        <w:left w:val="none" w:sz="0" w:space="0" w:color="auto"/>
        <w:bottom w:val="none" w:sz="0" w:space="0" w:color="auto"/>
        <w:right w:val="none" w:sz="0" w:space="0" w:color="auto"/>
      </w:divBdr>
    </w:div>
    <w:div w:id="1591429886">
      <w:bodyDiv w:val="1"/>
      <w:marLeft w:val="0"/>
      <w:marRight w:val="0"/>
      <w:marTop w:val="0"/>
      <w:marBottom w:val="0"/>
      <w:divBdr>
        <w:top w:val="none" w:sz="0" w:space="0" w:color="auto"/>
        <w:left w:val="none" w:sz="0" w:space="0" w:color="auto"/>
        <w:bottom w:val="none" w:sz="0" w:space="0" w:color="auto"/>
        <w:right w:val="none" w:sz="0" w:space="0" w:color="auto"/>
      </w:divBdr>
    </w:div>
    <w:div w:id="1594901801">
      <w:bodyDiv w:val="1"/>
      <w:marLeft w:val="0"/>
      <w:marRight w:val="0"/>
      <w:marTop w:val="0"/>
      <w:marBottom w:val="0"/>
      <w:divBdr>
        <w:top w:val="none" w:sz="0" w:space="0" w:color="auto"/>
        <w:left w:val="none" w:sz="0" w:space="0" w:color="auto"/>
        <w:bottom w:val="none" w:sz="0" w:space="0" w:color="auto"/>
        <w:right w:val="none" w:sz="0" w:space="0" w:color="auto"/>
      </w:divBdr>
    </w:div>
    <w:div w:id="1600869483">
      <w:bodyDiv w:val="1"/>
      <w:marLeft w:val="0"/>
      <w:marRight w:val="0"/>
      <w:marTop w:val="0"/>
      <w:marBottom w:val="0"/>
      <w:divBdr>
        <w:top w:val="none" w:sz="0" w:space="0" w:color="auto"/>
        <w:left w:val="none" w:sz="0" w:space="0" w:color="auto"/>
        <w:bottom w:val="none" w:sz="0" w:space="0" w:color="auto"/>
        <w:right w:val="none" w:sz="0" w:space="0" w:color="auto"/>
      </w:divBdr>
    </w:div>
    <w:div w:id="1603103014">
      <w:bodyDiv w:val="1"/>
      <w:marLeft w:val="0"/>
      <w:marRight w:val="0"/>
      <w:marTop w:val="0"/>
      <w:marBottom w:val="0"/>
      <w:divBdr>
        <w:top w:val="none" w:sz="0" w:space="0" w:color="auto"/>
        <w:left w:val="none" w:sz="0" w:space="0" w:color="auto"/>
        <w:bottom w:val="none" w:sz="0" w:space="0" w:color="auto"/>
        <w:right w:val="none" w:sz="0" w:space="0" w:color="auto"/>
      </w:divBdr>
    </w:div>
    <w:div w:id="1608082658">
      <w:bodyDiv w:val="1"/>
      <w:marLeft w:val="0"/>
      <w:marRight w:val="0"/>
      <w:marTop w:val="0"/>
      <w:marBottom w:val="0"/>
      <w:divBdr>
        <w:top w:val="none" w:sz="0" w:space="0" w:color="auto"/>
        <w:left w:val="none" w:sz="0" w:space="0" w:color="auto"/>
        <w:bottom w:val="none" w:sz="0" w:space="0" w:color="auto"/>
        <w:right w:val="none" w:sz="0" w:space="0" w:color="auto"/>
      </w:divBdr>
    </w:div>
    <w:div w:id="1621492246">
      <w:bodyDiv w:val="1"/>
      <w:marLeft w:val="0"/>
      <w:marRight w:val="0"/>
      <w:marTop w:val="0"/>
      <w:marBottom w:val="0"/>
      <w:divBdr>
        <w:top w:val="none" w:sz="0" w:space="0" w:color="auto"/>
        <w:left w:val="none" w:sz="0" w:space="0" w:color="auto"/>
        <w:bottom w:val="none" w:sz="0" w:space="0" w:color="auto"/>
        <w:right w:val="none" w:sz="0" w:space="0" w:color="auto"/>
      </w:divBdr>
    </w:div>
    <w:div w:id="1622035679">
      <w:bodyDiv w:val="1"/>
      <w:marLeft w:val="0"/>
      <w:marRight w:val="0"/>
      <w:marTop w:val="0"/>
      <w:marBottom w:val="0"/>
      <w:divBdr>
        <w:top w:val="none" w:sz="0" w:space="0" w:color="auto"/>
        <w:left w:val="none" w:sz="0" w:space="0" w:color="auto"/>
        <w:bottom w:val="none" w:sz="0" w:space="0" w:color="auto"/>
        <w:right w:val="none" w:sz="0" w:space="0" w:color="auto"/>
      </w:divBdr>
    </w:div>
    <w:div w:id="1625962117">
      <w:bodyDiv w:val="1"/>
      <w:marLeft w:val="0"/>
      <w:marRight w:val="0"/>
      <w:marTop w:val="0"/>
      <w:marBottom w:val="0"/>
      <w:divBdr>
        <w:top w:val="none" w:sz="0" w:space="0" w:color="auto"/>
        <w:left w:val="none" w:sz="0" w:space="0" w:color="auto"/>
        <w:bottom w:val="none" w:sz="0" w:space="0" w:color="auto"/>
        <w:right w:val="none" w:sz="0" w:space="0" w:color="auto"/>
      </w:divBdr>
    </w:div>
    <w:div w:id="1632321967">
      <w:bodyDiv w:val="1"/>
      <w:marLeft w:val="0"/>
      <w:marRight w:val="0"/>
      <w:marTop w:val="0"/>
      <w:marBottom w:val="0"/>
      <w:divBdr>
        <w:top w:val="none" w:sz="0" w:space="0" w:color="auto"/>
        <w:left w:val="none" w:sz="0" w:space="0" w:color="auto"/>
        <w:bottom w:val="none" w:sz="0" w:space="0" w:color="auto"/>
        <w:right w:val="none" w:sz="0" w:space="0" w:color="auto"/>
      </w:divBdr>
    </w:div>
    <w:div w:id="1634940959">
      <w:bodyDiv w:val="1"/>
      <w:marLeft w:val="0"/>
      <w:marRight w:val="0"/>
      <w:marTop w:val="0"/>
      <w:marBottom w:val="0"/>
      <w:divBdr>
        <w:top w:val="none" w:sz="0" w:space="0" w:color="auto"/>
        <w:left w:val="none" w:sz="0" w:space="0" w:color="auto"/>
        <w:bottom w:val="none" w:sz="0" w:space="0" w:color="auto"/>
        <w:right w:val="none" w:sz="0" w:space="0" w:color="auto"/>
      </w:divBdr>
    </w:div>
    <w:div w:id="1649632585">
      <w:bodyDiv w:val="1"/>
      <w:marLeft w:val="0"/>
      <w:marRight w:val="0"/>
      <w:marTop w:val="0"/>
      <w:marBottom w:val="0"/>
      <w:divBdr>
        <w:top w:val="none" w:sz="0" w:space="0" w:color="auto"/>
        <w:left w:val="none" w:sz="0" w:space="0" w:color="auto"/>
        <w:bottom w:val="none" w:sz="0" w:space="0" w:color="auto"/>
        <w:right w:val="none" w:sz="0" w:space="0" w:color="auto"/>
      </w:divBdr>
    </w:div>
    <w:div w:id="1651593709">
      <w:bodyDiv w:val="1"/>
      <w:marLeft w:val="0"/>
      <w:marRight w:val="0"/>
      <w:marTop w:val="0"/>
      <w:marBottom w:val="0"/>
      <w:divBdr>
        <w:top w:val="none" w:sz="0" w:space="0" w:color="auto"/>
        <w:left w:val="none" w:sz="0" w:space="0" w:color="auto"/>
        <w:bottom w:val="none" w:sz="0" w:space="0" w:color="auto"/>
        <w:right w:val="none" w:sz="0" w:space="0" w:color="auto"/>
      </w:divBdr>
    </w:div>
    <w:div w:id="1659918407">
      <w:bodyDiv w:val="1"/>
      <w:marLeft w:val="0"/>
      <w:marRight w:val="0"/>
      <w:marTop w:val="0"/>
      <w:marBottom w:val="0"/>
      <w:divBdr>
        <w:top w:val="none" w:sz="0" w:space="0" w:color="auto"/>
        <w:left w:val="none" w:sz="0" w:space="0" w:color="auto"/>
        <w:bottom w:val="none" w:sz="0" w:space="0" w:color="auto"/>
        <w:right w:val="none" w:sz="0" w:space="0" w:color="auto"/>
      </w:divBdr>
    </w:div>
    <w:div w:id="1668022754">
      <w:bodyDiv w:val="1"/>
      <w:marLeft w:val="0"/>
      <w:marRight w:val="0"/>
      <w:marTop w:val="0"/>
      <w:marBottom w:val="0"/>
      <w:divBdr>
        <w:top w:val="none" w:sz="0" w:space="0" w:color="auto"/>
        <w:left w:val="none" w:sz="0" w:space="0" w:color="auto"/>
        <w:bottom w:val="none" w:sz="0" w:space="0" w:color="auto"/>
        <w:right w:val="none" w:sz="0" w:space="0" w:color="auto"/>
      </w:divBdr>
    </w:div>
    <w:div w:id="1669018380">
      <w:bodyDiv w:val="1"/>
      <w:marLeft w:val="0"/>
      <w:marRight w:val="0"/>
      <w:marTop w:val="0"/>
      <w:marBottom w:val="0"/>
      <w:divBdr>
        <w:top w:val="none" w:sz="0" w:space="0" w:color="auto"/>
        <w:left w:val="none" w:sz="0" w:space="0" w:color="auto"/>
        <w:bottom w:val="none" w:sz="0" w:space="0" w:color="auto"/>
        <w:right w:val="none" w:sz="0" w:space="0" w:color="auto"/>
      </w:divBdr>
    </w:div>
    <w:div w:id="1678193623">
      <w:bodyDiv w:val="1"/>
      <w:marLeft w:val="0"/>
      <w:marRight w:val="0"/>
      <w:marTop w:val="0"/>
      <w:marBottom w:val="0"/>
      <w:divBdr>
        <w:top w:val="none" w:sz="0" w:space="0" w:color="auto"/>
        <w:left w:val="none" w:sz="0" w:space="0" w:color="auto"/>
        <w:bottom w:val="none" w:sz="0" w:space="0" w:color="auto"/>
        <w:right w:val="none" w:sz="0" w:space="0" w:color="auto"/>
      </w:divBdr>
    </w:div>
    <w:div w:id="1709260206">
      <w:bodyDiv w:val="1"/>
      <w:marLeft w:val="0"/>
      <w:marRight w:val="0"/>
      <w:marTop w:val="0"/>
      <w:marBottom w:val="0"/>
      <w:divBdr>
        <w:top w:val="none" w:sz="0" w:space="0" w:color="auto"/>
        <w:left w:val="none" w:sz="0" w:space="0" w:color="auto"/>
        <w:bottom w:val="none" w:sz="0" w:space="0" w:color="auto"/>
        <w:right w:val="none" w:sz="0" w:space="0" w:color="auto"/>
      </w:divBdr>
    </w:div>
    <w:div w:id="1710912234">
      <w:bodyDiv w:val="1"/>
      <w:marLeft w:val="0"/>
      <w:marRight w:val="0"/>
      <w:marTop w:val="0"/>
      <w:marBottom w:val="0"/>
      <w:divBdr>
        <w:top w:val="none" w:sz="0" w:space="0" w:color="auto"/>
        <w:left w:val="none" w:sz="0" w:space="0" w:color="auto"/>
        <w:bottom w:val="none" w:sz="0" w:space="0" w:color="auto"/>
        <w:right w:val="none" w:sz="0" w:space="0" w:color="auto"/>
      </w:divBdr>
    </w:div>
    <w:div w:id="1721250410">
      <w:bodyDiv w:val="1"/>
      <w:marLeft w:val="0"/>
      <w:marRight w:val="0"/>
      <w:marTop w:val="0"/>
      <w:marBottom w:val="0"/>
      <w:divBdr>
        <w:top w:val="none" w:sz="0" w:space="0" w:color="auto"/>
        <w:left w:val="none" w:sz="0" w:space="0" w:color="auto"/>
        <w:bottom w:val="none" w:sz="0" w:space="0" w:color="auto"/>
        <w:right w:val="none" w:sz="0" w:space="0" w:color="auto"/>
      </w:divBdr>
    </w:div>
    <w:div w:id="1729692101">
      <w:bodyDiv w:val="1"/>
      <w:marLeft w:val="0"/>
      <w:marRight w:val="0"/>
      <w:marTop w:val="0"/>
      <w:marBottom w:val="0"/>
      <w:divBdr>
        <w:top w:val="none" w:sz="0" w:space="0" w:color="auto"/>
        <w:left w:val="none" w:sz="0" w:space="0" w:color="auto"/>
        <w:bottom w:val="none" w:sz="0" w:space="0" w:color="auto"/>
        <w:right w:val="none" w:sz="0" w:space="0" w:color="auto"/>
      </w:divBdr>
    </w:div>
    <w:div w:id="1731613044">
      <w:bodyDiv w:val="1"/>
      <w:marLeft w:val="1440"/>
      <w:marRight w:val="1440"/>
      <w:marTop w:val="1440"/>
      <w:marBottom w:val="1440"/>
      <w:divBdr>
        <w:top w:val="none" w:sz="0" w:space="0" w:color="auto"/>
        <w:left w:val="none" w:sz="0" w:space="0" w:color="auto"/>
        <w:bottom w:val="none" w:sz="0" w:space="0" w:color="auto"/>
        <w:right w:val="none" w:sz="0" w:space="0" w:color="auto"/>
      </w:divBdr>
    </w:div>
    <w:div w:id="1732726868">
      <w:bodyDiv w:val="1"/>
      <w:marLeft w:val="1440"/>
      <w:marRight w:val="1440"/>
      <w:marTop w:val="1440"/>
      <w:marBottom w:val="1440"/>
      <w:divBdr>
        <w:top w:val="none" w:sz="0" w:space="0" w:color="auto"/>
        <w:left w:val="none" w:sz="0" w:space="0" w:color="auto"/>
        <w:bottom w:val="none" w:sz="0" w:space="0" w:color="auto"/>
        <w:right w:val="none" w:sz="0" w:space="0" w:color="auto"/>
      </w:divBdr>
    </w:div>
    <w:div w:id="1741252119">
      <w:bodyDiv w:val="1"/>
      <w:marLeft w:val="0"/>
      <w:marRight w:val="0"/>
      <w:marTop w:val="0"/>
      <w:marBottom w:val="0"/>
      <w:divBdr>
        <w:top w:val="none" w:sz="0" w:space="0" w:color="auto"/>
        <w:left w:val="none" w:sz="0" w:space="0" w:color="auto"/>
        <w:bottom w:val="none" w:sz="0" w:space="0" w:color="auto"/>
        <w:right w:val="none" w:sz="0" w:space="0" w:color="auto"/>
      </w:divBdr>
    </w:div>
    <w:div w:id="1751078375">
      <w:bodyDiv w:val="1"/>
      <w:marLeft w:val="0"/>
      <w:marRight w:val="0"/>
      <w:marTop w:val="0"/>
      <w:marBottom w:val="0"/>
      <w:divBdr>
        <w:top w:val="none" w:sz="0" w:space="0" w:color="auto"/>
        <w:left w:val="none" w:sz="0" w:space="0" w:color="auto"/>
        <w:bottom w:val="none" w:sz="0" w:space="0" w:color="auto"/>
        <w:right w:val="none" w:sz="0" w:space="0" w:color="auto"/>
      </w:divBdr>
    </w:div>
    <w:div w:id="1753429800">
      <w:bodyDiv w:val="1"/>
      <w:marLeft w:val="0"/>
      <w:marRight w:val="0"/>
      <w:marTop w:val="0"/>
      <w:marBottom w:val="0"/>
      <w:divBdr>
        <w:top w:val="none" w:sz="0" w:space="0" w:color="auto"/>
        <w:left w:val="none" w:sz="0" w:space="0" w:color="auto"/>
        <w:bottom w:val="none" w:sz="0" w:space="0" w:color="auto"/>
        <w:right w:val="none" w:sz="0" w:space="0" w:color="auto"/>
      </w:divBdr>
    </w:div>
    <w:div w:id="1755736847">
      <w:bodyDiv w:val="1"/>
      <w:marLeft w:val="0"/>
      <w:marRight w:val="0"/>
      <w:marTop w:val="0"/>
      <w:marBottom w:val="0"/>
      <w:divBdr>
        <w:top w:val="none" w:sz="0" w:space="0" w:color="auto"/>
        <w:left w:val="none" w:sz="0" w:space="0" w:color="auto"/>
        <w:bottom w:val="none" w:sz="0" w:space="0" w:color="auto"/>
        <w:right w:val="none" w:sz="0" w:space="0" w:color="auto"/>
      </w:divBdr>
    </w:div>
    <w:div w:id="1760952652">
      <w:bodyDiv w:val="1"/>
      <w:marLeft w:val="0"/>
      <w:marRight w:val="0"/>
      <w:marTop w:val="0"/>
      <w:marBottom w:val="0"/>
      <w:divBdr>
        <w:top w:val="none" w:sz="0" w:space="0" w:color="auto"/>
        <w:left w:val="none" w:sz="0" w:space="0" w:color="auto"/>
        <w:bottom w:val="none" w:sz="0" w:space="0" w:color="auto"/>
        <w:right w:val="none" w:sz="0" w:space="0" w:color="auto"/>
      </w:divBdr>
    </w:div>
    <w:div w:id="1761291095">
      <w:bodyDiv w:val="1"/>
      <w:marLeft w:val="1440"/>
      <w:marRight w:val="1440"/>
      <w:marTop w:val="1440"/>
      <w:marBottom w:val="1440"/>
      <w:divBdr>
        <w:top w:val="none" w:sz="0" w:space="0" w:color="auto"/>
        <w:left w:val="none" w:sz="0" w:space="0" w:color="auto"/>
        <w:bottom w:val="none" w:sz="0" w:space="0" w:color="auto"/>
        <w:right w:val="none" w:sz="0" w:space="0" w:color="auto"/>
      </w:divBdr>
    </w:div>
    <w:div w:id="1768385173">
      <w:bodyDiv w:val="1"/>
      <w:marLeft w:val="0"/>
      <w:marRight w:val="0"/>
      <w:marTop w:val="0"/>
      <w:marBottom w:val="0"/>
      <w:divBdr>
        <w:top w:val="none" w:sz="0" w:space="0" w:color="auto"/>
        <w:left w:val="none" w:sz="0" w:space="0" w:color="auto"/>
        <w:bottom w:val="none" w:sz="0" w:space="0" w:color="auto"/>
        <w:right w:val="none" w:sz="0" w:space="0" w:color="auto"/>
      </w:divBdr>
    </w:div>
    <w:div w:id="1774782818">
      <w:bodyDiv w:val="1"/>
      <w:marLeft w:val="0"/>
      <w:marRight w:val="0"/>
      <w:marTop w:val="0"/>
      <w:marBottom w:val="0"/>
      <w:divBdr>
        <w:top w:val="none" w:sz="0" w:space="0" w:color="auto"/>
        <w:left w:val="none" w:sz="0" w:space="0" w:color="auto"/>
        <w:bottom w:val="none" w:sz="0" w:space="0" w:color="auto"/>
        <w:right w:val="none" w:sz="0" w:space="0" w:color="auto"/>
      </w:divBdr>
    </w:div>
    <w:div w:id="1797288991">
      <w:bodyDiv w:val="1"/>
      <w:marLeft w:val="0"/>
      <w:marRight w:val="0"/>
      <w:marTop w:val="0"/>
      <w:marBottom w:val="0"/>
      <w:divBdr>
        <w:top w:val="none" w:sz="0" w:space="0" w:color="auto"/>
        <w:left w:val="none" w:sz="0" w:space="0" w:color="auto"/>
        <w:bottom w:val="none" w:sz="0" w:space="0" w:color="auto"/>
        <w:right w:val="none" w:sz="0" w:space="0" w:color="auto"/>
      </w:divBdr>
    </w:div>
    <w:div w:id="1797724212">
      <w:bodyDiv w:val="1"/>
      <w:marLeft w:val="0"/>
      <w:marRight w:val="0"/>
      <w:marTop w:val="0"/>
      <w:marBottom w:val="0"/>
      <w:divBdr>
        <w:top w:val="none" w:sz="0" w:space="0" w:color="auto"/>
        <w:left w:val="none" w:sz="0" w:space="0" w:color="auto"/>
        <w:bottom w:val="none" w:sz="0" w:space="0" w:color="auto"/>
        <w:right w:val="none" w:sz="0" w:space="0" w:color="auto"/>
      </w:divBdr>
    </w:div>
    <w:div w:id="1808207943">
      <w:bodyDiv w:val="1"/>
      <w:marLeft w:val="0"/>
      <w:marRight w:val="0"/>
      <w:marTop w:val="0"/>
      <w:marBottom w:val="0"/>
      <w:divBdr>
        <w:top w:val="none" w:sz="0" w:space="0" w:color="auto"/>
        <w:left w:val="none" w:sz="0" w:space="0" w:color="auto"/>
        <w:bottom w:val="none" w:sz="0" w:space="0" w:color="auto"/>
        <w:right w:val="none" w:sz="0" w:space="0" w:color="auto"/>
      </w:divBdr>
    </w:div>
    <w:div w:id="1819615689">
      <w:bodyDiv w:val="1"/>
      <w:marLeft w:val="0"/>
      <w:marRight w:val="0"/>
      <w:marTop w:val="0"/>
      <w:marBottom w:val="0"/>
      <w:divBdr>
        <w:top w:val="none" w:sz="0" w:space="0" w:color="auto"/>
        <w:left w:val="none" w:sz="0" w:space="0" w:color="auto"/>
        <w:bottom w:val="none" w:sz="0" w:space="0" w:color="auto"/>
        <w:right w:val="none" w:sz="0" w:space="0" w:color="auto"/>
      </w:divBdr>
    </w:div>
    <w:div w:id="1836653630">
      <w:bodyDiv w:val="1"/>
      <w:marLeft w:val="0"/>
      <w:marRight w:val="0"/>
      <w:marTop w:val="0"/>
      <w:marBottom w:val="0"/>
      <w:divBdr>
        <w:top w:val="none" w:sz="0" w:space="0" w:color="auto"/>
        <w:left w:val="none" w:sz="0" w:space="0" w:color="auto"/>
        <w:bottom w:val="none" w:sz="0" w:space="0" w:color="auto"/>
        <w:right w:val="none" w:sz="0" w:space="0" w:color="auto"/>
      </w:divBdr>
    </w:div>
    <w:div w:id="1850485514">
      <w:bodyDiv w:val="1"/>
      <w:marLeft w:val="0"/>
      <w:marRight w:val="0"/>
      <w:marTop w:val="0"/>
      <w:marBottom w:val="0"/>
      <w:divBdr>
        <w:top w:val="none" w:sz="0" w:space="0" w:color="auto"/>
        <w:left w:val="none" w:sz="0" w:space="0" w:color="auto"/>
        <w:bottom w:val="none" w:sz="0" w:space="0" w:color="auto"/>
        <w:right w:val="none" w:sz="0" w:space="0" w:color="auto"/>
      </w:divBdr>
    </w:div>
    <w:div w:id="1852984596">
      <w:bodyDiv w:val="1"/>
      <w:marLeft w:val="0"/>
      <w:marRight w:val="0"/>
      <w:marTop w:val="0"/>
      <w:marBottom w:val="0"/>
      <w:divBdr>
        <w:top w:val="none" w:sz="0" w:space="0" w:color="auto"/>
        <w:left w:val="none" w:sz="0" w:space="0" w:color="auto"/>
        <w:bottom w:val="none" w:sz="0" w:space="0" w:color="auto"/>
        <w:right w:val="none" w:sz="0" w:space="0" w:color="auto"/>
      </w:divBdr>
      <w:divsChild>
        <w:div w:id="1852716672">
          <w:marLeft w:val="0"/>
          <w:marRight w:val="0"/>
          <w:marTop w:val="0"/>
          <w:marBottom w:val="0"/>
          <w:divBdr>
            <w:top w:val="none" w:sz="0" w:space="0" w:color="auto"/>
            <w:left w:val="none" w:sz="0" w:space="0" w:color="auto"/>
            <w:bottom w:val="none" w:sz="0" w:space="0" w:color="auto"/>
            <w:right w:val="none" w:sz="0" w:space="0" w:color="auto"/>
          </w:divBdr>
          <w:divsChild>
            <w:div w:id="17481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3615">
      <w:bodyDiv w:val="1"/>
      <w:marLeft w:val="0"/>
      <w:marRight w:val="0"/>
      <w:marTop w:val="0"/>
      <w:marBottom w:val="0"/>
      <w:divBdr>
        <w:top w:val="none" w:sz="0" w:space="0" w:color="auto"/>
        <w:left w:val="none" w:sz="0" w:space="0" w:color="auto"/>
        <w:bottom w:val="none" w:sz="0" w:space="0" w:color="auto"/>
        <w:right w:val="none" w:sz="0" w:space="0" w:color="auto"/>
      </w:divBdr>
    </w:div>
    <w:div w:id="1864858708">
      <w:bodyDiv w:val="1"/>
      <w:marLeft w:val="0"/>
      <w:marRight w:val="0"/>
      <w:marTop w:val="0"/>
      <w:marBottom w:val="0"/>
      <w:divBdr>
        <w:top w:val="none" w:sz="0" w:space="0" w:color="auto"/>
        <w:left w:val="none" w:sz="0" w:space="0" w:color="auto"/>
        <w:bottom w:val="none" w:sz="0" w:space="0" w:color="auto"/>
        <w:right w:val="none" w:sz="0" w:space="0" w:color="auto"/>
      </w:divBdr>
    </w:div>
    <w:div w:id="1884098962">
      <w:bodyDiv w:val="1"/>
      <w:marLeft w:val="0"/>
      <w:marRight w:val="0"/>
      <w:marTop w:val="0"/>
      <w:marBottom w:val="0"/>
      <w:divBdr>
        <w:top w:val="none" w:sz="0" w:space="0" w:color="auto"/>
        <w:left w:val="none" w:sz="0" w:space="0" w:color="auto"/>
        <w:bottom w:val="none" w:sz="0" w:space="0" w:color="auto"/>
        <w:right w:val="none" w:sz="0" w:space="0" w:color="auto"/>
      </w:divBdr>
    </w:div>
    <w:div w:id="1918395204">
      <w:bodyDiv w:val="1"/>
      <w:marLeft w:val="0"/>
      <w:marRight w:val="0"/>
      <w:marTop w:val="0"/>
      <w:marBottom w:val="0"/>
      <w:divBdr>
        <w:top w:val="none" w:sz="0" w:space="0" w:color="auto"/>
        <w:left w:val="none" w:sz="0" w:space="0" w:color="auto"/>
        <w:bottom w:val="none" w:sz="0" w:space="0" w:color="auto"/>
        <w:right w:val="none" w:sz="0" w:space="0" w:color="auto"/>
      </w:divBdr>
    </w:div>
    <w:div w:id="1921864836">
      <w:bodyDiv w:val="1"/>
      <w:marLeft w:val="0"/>
      <w:marRight w:val="0"/>
      <w:marTop w:val="0"/>
      <w:marBottom w:val="0"/>
      <w:divBdr>
        <w:top w:val="none" w:sz="0" w:space="0" w:color="auto"/>
        <w:left w:val="none" w:sz="0" w:space="0" w:color="auto"/>
        <w:bottom w:val="none" w:sz="0" w:space="0" w:color="auto"/>
        <w:right w:val="none" w:sz="0" w:space="0" w:color="auto"/>
      </w:divBdr>
    </w:div>
    <w:div w:id="1927691547">
      <w:bodyDiv w:val="1"/>
      <w:marLeft w:val="0"/>
      <w:marRight w:val="0"/>
      <w:marTop w:val="0"/>
      <w:marBottom w:val="0"/>
      <w:divBdr>
        <w:top w:val="none" w:sz="0" w:space="0" w:color="auto"/>
        <w:left w:val="none" w:sz="0" w:space="0" w:color="auto"/>
        <w:bottom w:val="none" w:sz="0" w:space="0" w:color="auto"/>
        <w:right w:val="none" w:sz="0" w:space="0" w:color="auto"/>
      </w:divBdr>
    </w:div>
    <w:div w:id="1931232702">
      <w:bodyDiv w:val="1"/>
      <w:marLeft w:val="0"/>
      <w:marRight w:val="0"/>
      <w:marTop w:val="0"/>
      <w:marBottom w:val="0"/>
      <w:divBdr>
        <w:top w:val="none" w:sz="0" w:space="0" w:color="auto"/>
        <w:left w:val="none" w:sz="0" w:space="0" w:color="auto"/>
        <w:bottom w:val="none" w:sz="0" w:space="0" w:color="auto"/>
        <w:right w:val="none" w:sz="0" w:space="0" w:color="auto"/>
      </w:divBdr>
      <w:divsChild>
        <w:div w:id="1684669506">
          <w:marLeft w:val="0"/>
          <w:marRight w:val="0"/>
          <w:marTop w:val="0"/>
          <w:marBottom w:val="0"/>
          <w:divBdr>
            <w:top w:val="none" w:sz="0" w:space="0" w:color="auto"/>
            <w:left w:val="none" w:sz="0" w:space="0" w:color="auto"/>
            <w:bottom w:val="none" w:sz="0" w:space="0" w:color="auto"/>
            <w:right w:val="none" w:sz="0" w:space="0" w:color="auto"/>
          </w:divBdr>
          <w:divsChild>
            <w:div w:id="1837450197">
              <w:marLeft w:val="0"/>
              <w:marRight w:val="0"/>
              <w:marTop w:val="0"/>
              <w:marBottom w:val="0"/>
              <w:divBdr>
                <w:top w:val="none" w:sz="0" w:space="0" w:color="auto"/>
                <w:left w:val="none" w:sz="0" w:space="0" w:color="auto"/>
                <w:bottom w:val="none" w:sz="0" w:space="0" w:color="auto"/>
                <w:right w:val="none" w:sz="0" w:space="0" w:color="auto"/>
              </w:divBdr>
              <w:divsChild>
                <w:div w:id="507987212">
                  <w:marLeft w:val="0"/>
                  <w:marRight w:val="0"/>
                  <w:marTop w:val="0"/>
                  <w:marBottom w:val="0"/>
                  <w:divBdr>
                    <w:top w:val="none" w:sz="0" w:space="0" w:color="auto"/>
                    <w:left w:val="none" w:sz="0" w:space="0" w:color="auto"/>
                    <w:bottom w:val="none" w:sz="0" w:space="0" w:color="auto"/>
                    <w:right w:val="none" w:sz="0" w:space="0" w:color="auto"/>
                  </w:divBdr>
                  <w:divsChild>
                    <w:div w:id="145710708">
                      <w:marLeft w:val="0"/>
                      <w:marRight w:val="0"/>
                      <w:marTop w:val="0"/>
                      <w:marBottom w:val="0"/>
                      <w:divBdr>
                        <w:top w:val="none" w:sz="0" w:space="0" w:color="auto"/>
                        <w:left w:val="none" w:sz="0" w:space="0" w:color="auto"/>
                        <w:bottom w:val="none" w:sz="0" w:space="0" w:color="auto"/>
                        <w:right w:val="none" w:sz="0" w:space="0" w:color="auto"/>
                      </w:divBdr>
                      <w:divsChild>
                        <w:div w:id="1549292904">
                          <w:marLeft w:val="0"/>
                          <w:marRight w:val="0"/>
                          <w:marTop w:val="100"/>
                          <w:marBottom w:val="100"/>
                          <w:divBdr>
                            <w:top w:val="none" w:sz="0" w:space="0" w:color="auto"/>
                            <w:left w:val="none" w:sz="0" w:space="0" w:color="auto"/>
                            <w:bottom w:val="none" w:sz="0" w:space="0" w:color="auto"/>
                            <w:right w:val="none" w:sz="0" w:space="0" w:color="auto"/>
                          </w:divBdr>
                          <w:divsChild>
                            <w:div w:id="165833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470435">
      <w:bodyDiv w:val="1"/>
      <w:marLeft w:val="0"/>
      <w:marRight w:val="0"/>
      <w:marTop w:val="0"/>
      <w:marBottom w:val="0"/>
      <w:divBdr>
        <w:top w:val="none" w:sz="0" w:space="0" w:color="auto"/>
        <w:left w:val="none" w:sz="0" w:space="0" w:color="auto"/>
        <w:bottom w:val="none" w:sz="0" w:space="0" w:color="auto"/>
        <w:right w:val="none" w:sz="0" w:space="0" w:color="auto"/>
      </w:divBdr>
    </w:div>
    <w:div w:id="1952663148">
      <w:bodyDiv w:val="1"/>
      <w:marLeft w:val="0"/>
      <w:marRight w:val="0"/>
      <w:marTop w:val="0"/>
      <w:marBottom w:val="0"/>
      <w:divBdr>
        <w:top w:val="none" w:sz="0" w:space="0" w:color="auto"/>
        <w:left w:val="none" w:sz="0" w:space="0" w:color="auto"/>
        <w:bottom w:val="none" w:sz="0" w:space="0" w:color="auto"/>
        <w:right w:val="none" w:sz="0" w:space="0" w:color="auto"/>
      </w:divBdr>
    </w:div>
    <w:div w:id="1977224981">
      <w:bodyDiv w:val="1"/>
      <w:marLeft w:val="0"/>
      <w:marRight w:val="0"/>
      <w:marTop w:val="0"/>
      <w:marBottom w:val="0"/>
      <w:divBdr>
        <w:top w:val="none" w:sz="0" w:space="0" w:color="auto"/>
        <w:left w:val="none" w:sz="0" w:space="0" w:color="auto"/>
        <w:bottom w:val="none" w:sz="0" w:space="0" w:color="auto"/>
        <w:right w:val="none" w:sz="0" w:space="0" w:color="auto"/>
      </w:divBdr>
    </w:div>
    <w:div w:id="1981300182">
      <w:bodyDiv w:val="1"/>
      <w:marLeft w:val="0"/>
      <w:marRight w:val="0"/>
      <w:marTop w:val="0"/>
      <w:marBottom w:val="0"/>
      <w:divBdr>
        <w:top w:val="none" w:sz="0" w:space="0" w:color="auto"/>
        <w:left w:val="none" w:sz="0" w:space="0" w:color="auto"/>
        <w:bottom w:val="none" w:sz="0" w:space="0" w:color="auto"/>
        <w:right w:val="none" w:sz="0" w:space="0" w:color="auto"/>
      </w:divBdr>
    </w:div>
    <w:div w:id="1985502352">
      <w:bodyDiv w:val="1"/>
      <w:marLeft w:val="0"/>
      <w:marRight w:val="0"/>
      <w:marTop w:val="0"/>
      <w:marBottom w:val="0"/>
      <w:divBdr>
        <w:top w:val="none" w:sz="0" w:space="0" w:color="auto"/>
        <w:left w:val="none" w:sz="0" w:space="0" w:color="auto"/>
        <w:bottom w:val="none" w:sz="0" w:space="0" w:color="auto"/>
        <w:right w:val="none" w:sz="0" w:space="0" w:color="auto"/>
      </w:divBdr>
    </w:div>
    <w:div w:id="2005736687">
      <w:bodyDiv w:val="1"/>
      <w:marLeft w:val="0"/>
      <w:marRight w:val="0"/>
      <w:marTop w:val="0"/>
      <w:marBottom w:val="0"/>
      <w:divBdr>
        <w:top w:val="none" w:sz="0" w:space="0" w:color="auto"/>
        <w:left w:val="none" w:sz="0" w:space="0" w:color="auto"/>
        <w:bottom w:val="none" w:sz="0" w:space="0" w:color="auto"/>
        <w:right w:val="none" w:sz="0" w:space="0" w:color="auto"/>
      </w:divBdr>
    </w:div>
    <w:div w:id="2009289943">
      <w:bodyDiv w:val="1"/>
      <w:marLeft w:val="0"/>
      <w:marRight w:val="0"/>
      <w:marTop w:val="0"/>
      <w:marBottom w:val="0"/>
      <w:divBdr>
        <w:top w:val="none" w:sz="0" w:space="0" w:color="auto"/>
        <w:left w:val="none" w:sz="0" w:space="0" w:color="auto"/>
        <w:bottom w:val="none" w:sz="0" w:space="0" w:color="auto"/>
        <w:right w:val="none" w:sz="0" w:space="0" w:color="auto"/>
      </w:divBdr>
    </w:div>
    <w:div w:id="2020424437">
      <w:bodyDiv w:val="1"/>
      <w:marLeft w:val="0"/>
      <w:marRight w:val="0"/>
      <w:marTop w:val="0"/>
      <w:marBottom w:val="0"/>
      <w:divBdr>
        <w:top w:val="none" w:sz="0" w:space="0" w:color="auto"/>
        <w:left w:val="none" w:sz="0" w:space="0" w:color="auto"/>
        <w:bottom w:val="none" w:sz="0" w:space="0" w:color="auto"/>
        <w:right w:val="none" w:sz="0" w:space="0" w:color="auto"/>
      </w:divBdr>
    </w:div>
    <w:div w:id="2027905450">
      <w:bodyDiv w:val="1"/>
      <w:marLeft w:val="0"/>
      <w:marRight w:val="0"/>
      <w:marTop w:val="0"/>
      <w:marBottom w:val="0"/>
      <w:divBdr>
        <w:top w:val="none" w:sz="0" w:space="0" w:color="auto"/>
        <w:left w:val="none" w:sz="0" w:space="0" w:color="auto"/>
        <w:bottom w:val="none" w:sz="0" w:space="0" w:color="auto"/>
        <w:right w:val="none" w:sz="0" w:space="0" w:color="auto"/>
      </w:divBdr>
    </w:div>
    <w:div w:id="2029137334">
      <w:bodyDiv w:val="1"/>
      <w:marLeft w:val="0"/>
      <w:marRight w:val="0"/>
      <w:marTop w:val="0"/>
      <w:marBottom w:val="0"/>
      <w:divBdr>
        <w:top w:val="none" w:sz="0" w:space="0" w:color="auto"/>
        <w:left w:val="none" w:sz="0" w:space="0" w:color="auto"/>
        <w:bottom w:val="none" w:sz="0" w:space="0" w:color="auto"/>
        <w:right w:val="none" w:sz="0" w:space="0" w:color="auto"/>
      </w:divBdr>
    </w:div>
    <w:div w:id="2030721392">
      <w:bodyDiv w:val="1"/>
      <w:marLeft w:val="0"/>
      <w:marRight w:val="0"/>
      <w:marTop w:val="0"/>
      <w:marBottom w:val="0"/>
      <w:divBdr>
        <w:top w:val="none" w:sz="0" w:space="0" w:color="auto"/>
        <w:left w:val="none" w:sz="0" w:space="0" w:color="auto"/>
        <w:bottom w:val="none" w:sz="0" w:space="0" w:color="auto"/>
        <w:right w:val="none" w:sz="0" w:space="0" w:color="auto"/>
      </w:divBdr>
    </w:div>
    <w:div w:id="2040472246">
      <w:bodyDiv w:val="1"/>
      <w:marLeft w:val="0"/>
      <w:marRight w:val="0"/>
      <w:marTop w:val="0"/>
      <w:marBottom w:val="0"/>
      <w:divBdr>
        <w:top w:val="none" w:sz="0" w:space="0" w:color="auto"/>
        <w:left w:val="none" w:sz="0" w:space="0" w:color="auto"/>
        <w:bottom w:val="none" w:sz="0" w:space="0" w:color="auto"/>
        <w:right w:val="none" w:sz="0" w:space="0" w:color="auto"/>
      </w:divBdr>
    </w:div>
    <w:div w:id="2048210941">
      <w:bodyDiv w:val="1"/>
      <w:marLeft w:val="0"/>
      <w:marRight w:val="0"/>
      <w:marTop w:val="0"/>
      <w:marBottom w:val="0"/>
      <w:divBdr>
        <w:top w:val="none" w:sz="0" w:space="0" w:color="auto"/>
        <w:left w:val="none" w:sz="0" w:space="0" w:color="auto"/>
        <w:bottom w:val="none" w:sz="0" w:space="0" w:color="auto"/>
        <w:right w:val="none" w:sz="0" w:space="0" w:color="auto"/>
      </w:divBdr>
    </w:div>
    <w:div w:id="2059545574">
      <w:bodyDiv w:val="1"/>
      <w:marLeft w:val="0"/>
      <w:marRight w:val="0"/>
      <w:marTop w:val="0"/>
      <w:marBottom w:val="0"/>
      <w:divBdr>
        <w:top w:val="none" w:sz="0" w:space="0" w:color="auto"/>
        <w:left w:val="none" w:sz="0" w:space="0" w:color="auto"/>
        <w:bottom w:val="none" w:sz="0" w:space="0" w:color="auto"/>
        <w:right w:val="none" w:sz="0" w:space="0" w:color="auto"/>
      </w:divBdr>
    </w:div>
    <w:div w:id="2082604868">
      <w:bodyDiv w:val="1"/>
      <w:marLeft w:val="0"/>
      <w:marRight w:val="0"/>
      <w:marTop w:val="0"/>
      <w:marBottom w:val="0"/>
      <w:divBdr>
        <w:top w:val="none" w:sz="0" w:space="0" w:color="auto"/>
        <w:left w:val="none" w:sz="0" w:space="0" w:color="auto"/>
        <w:bottom w:val="none" w:sz="0" w:space="0" w:color="auto"/>
        <w:right w:val="none" w:sz="0" w:space="0" w:color="auto"/>
      </w:divBdr>
    </w:div>
    <w:div w:id="2088183786">
      <w:bodyDiv w:val="1"/>
      <w:marLeft w:val="1440"/>
      <w:marRight w:val="1440"/>
      <w:marTop w:val="1440"/>
      <w:marBottom w:val="1440"/>
      <w:divBdr>
        <w:top w:val="none" w:sz="0" w:space="0" w:color="auto"/>
        <w:left w:val="none" w:sz="0" w:space="0" w:color="auto"/>
        <w:bottom w:val="none" w:sz="0" w:space="0" w:color="auto"/>
        <w:right w:val="none" w:sz="0" w:space="0" w:color="auto"/>
      </w:divBdr>
    </w:div>
    <w:div w:id="2089106314">
      <w:bodyDiv w:val="1"/>
      <w:marLeft w:val="0"/>
      <w:marRight w:val="0"/>
      <w:marTop w:val="0"/>
      <w:marBottom w:val="0"/>
      <w:divBdr>
        <w:top w:val="none" w:sz="0" w:space="0" w:color="auto"/>
        <w:left w:val="none" w:sz="0" w:space="0" w:color="auto"/>
        <w:bottom w:val="none" w:sz="0" w:space="0" w:color="auto"/>
        <w:right w:val="none" w:sz="0" w:space="0" w:color="auto"/>
      </w:divBdr>
    </w:div>
    <w:div w:id="2089886560">
      <w:bodyDiv w:val="1"/>
      <w:marLeft w:val="0"/>
      <w:marRight w:val="0"/>
      <w:marTop w:val="0"/>
      <w:marBottom w:val="0"/>
      <w:divBdr>
        <w:top w:val="none" w:sz="0" w:space="0" w:color="auto"/>
        <w:left w:val="none" w:sz="0" w:space="0" w:color="auto"/>
        <w:bottom w:val="none" w:sz="0" w:space="0" w:color="auto"/>
        <w:right w:val="none" w:sz="0" w:space="0" w:color="auto"/>
      </w:divBdr>
      <w:divsChild>
        <w:div w:id="1180386415">
          <w:marLeft w:val="0"/>
          <w:marRight w:val="0"/>
          <w:marTop w:val="0"/>
          <w:marBottom w:val="0"/>
          <w:divBdr>
            <w:top w:val="none" w:sz="0" w:space="0" w:color="auto"/>
            <w:left w:val="none" w:sz="0" w:space="0" w:color="auto"/>
            <w:bottom w:val="none" w:sz="0" w:space="0" w:color="auto"/>
            <w:right w:val="none" w:sz="0" w:space="0" w:color="auto"/>
          </w:divBdr>
          <w:divsChild>
            <w:div w:id="1335843588">
              <w:marLeft w:val="0"/>
              <w:marRight w:val="0"/>
              <w:marTop w:val="0"/>
              <w:marBottom w:val="0"/>
              <w:divBdr>
                <w:top w:val="none" w:sz="0" w:space="0" w:color="auto"/>
                <w:left w:val="none" w:sz="0" w:space="0" w:color="auto"/>
                <w:bottom w:val="none" w:sz="0" w:space="0" w:color="auto"/>
                <w:right w:val="none" w:sz="0" w:space="0" w:color="auto"/>
              </w:divBdr>
              <w:divsChild>
                <w:div w:id="1976252816">
                  <w:marLeft w:val="0"/>
                  <w:marRight w:val="0"/>
                  <w:marTop w:val="0"/>
                  <w:marBottom w:val="0"/>
                  <w:divBdr>
                    <w:top w:val="none" w:sz="0" w:space="0" w:color="auto"/>
                    <w:left w:val="none" w:sz="0" w:space="0" w:color="auto"/>
                    <w:bottom w:val="none" w:sz="0" w:space="0" w:color="auto"/>
                    <w:right w:val="none" w:sz="0" w:space="0" w:color="auto"/>
                  </w:divBdr>
                  <w:divsChild>
                    <w:div w:id="1185168501">
                      <w:marLeft w:val="0"/>
                      <w:marRight w:val="0"/>
                      <w:marTop w:val="0"/>
                      <w:marBottom w:val="0"/>
                      <w:divBdr>
                        <w:top w:val="none" w:sz="0" w:space="0" w:color="auto"/>
                        <w:left w:val="none" w:sz="0" w:space="0" w:color="auto"/>
                        <w:bottom w:val="none" w:sz="0" w:space="0" w:color="auto"/>
                        <w:right w:val="none" w:sz="0" w:space="0" w:color="auto"/>
                      </w:divBdr>
                      <w:divsChild>
                        <w:div w:id="19379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6250">
      <w:bodyDiv w:val="1"/>
      <w:marLeft w:val="0"/>
      <w:marRight w:val="0"/>
      <w:marTop w:val="0"/>
      <w:marBottom w:val="0"/>
      <w:divBdr>
        <w:top w:val="none" w:sz="0" w:space="0" w:color="auto"/>
        <w:left w:val="none" w:sz="0" w:space="0" w:color="auto"/>
        <w:bottom w:val="none" w:sz="0" w:space="0" w:color="auto"/>
        <w:right w:val="none" w:sz="0" w:space="0" w:color="auto"/>
      </w:divBdr>
    </w:div>
    <w:div w:id="2110813538">
      <w:bodyDiv w:val="1"/>
      <w:marLeft w:val="0"/>
      <w:marRight w:val="0"/>
      <w:marTop w:val="0"/>
      <w:marBottom w:val="0"/>
      <w:divBdr>
        <w:top w:val="none" w:sz="0" w:space="0" w:color="auto"/>
        <w:left w:val="none" w:sz="0" w:space="0" w:color="auto"/>
        <w:bottom w:val="none" w:sz="0" w:space="0" w:color="auto"/>
        <w:right w:val="none" w:sz="0" w:space="0" w:color="auto"/>
      </w:divBdr>
    </w:div>
    <w:div w:id="2114086813">
      <w:bodyDiv w:val="1"/>
      <w:marLeft w:val="0"/>
      <w:marRight w:val="0"/>
      <w:marTop w:val="0"/>
      <w:marBottom w:val="0"/>
      <w:divBdr>
        <w:top w:val="none" w:sz="0" w:space="0" w:color="auto"/>
        <w:left w:val="none" w:sz="0" w:space="0" w:color="auto"/>
        <w:bottom w:val="none" w:sz="0" w:space="0" w:color="auto"/>
        <w:right w:val="none" w:sz="0" w:space="0" w:color="auto"/>
      </w:divBdr>
    </w:div>
    <w:div w:id="2117671415">
      <w:bodyDiv w:val="1"/>
      <w:marLeft w:val="0"/>
      <w:marRight w:val="0"/>
      <w:marTop w:val="0"/>
      <w:marBottom w:val="0"/>
      <w:divBdr>
        <w:top w:val="none" w:sz="0" w:space="0" w:color="auto"/>
        <w:left w:val="none" w:sz="0" w:space="0" w:color="auto"/>
        <w:bottom w:val="none" w:sz="0" w:space="0" w:color="auto"/>
        <w:right w:val="none" w:sz="0" w:space="0" w:color="auto"/>
      </w:divBdr>
    </w:div>
    <w:div w:id="2117745930">
      <w:bodyDiv w:val="1"/>
      <w:marLeft w:val="0"/>
      <w:marRight w:val="0"/>
      <w:marTop w:val="0"/>
      <w:marBottom w:val="0"/>
      <w:divBdr>
        <w:top w:val="none" w:sz="0" w:space="0" w:color="auto"/>
        <w:left w:val="none" w:sz="0" w:space="0" w:color="auto"/>
        <w:bottom w:val="none" w:sz="0" w:space="0" w:color="auto"/>
        <w:right w:val="none" w:sz="0" w:space="0" w:color="auto"/>
      </w:divBdr>
    </w:div>
    <w:div w:id="2117865035">
      <w:bodyDiv w:val="1"/>
      <w:marLeft w:val="0"/>
      <w:marRight w:val="0"/>
      <w:marTop w:val="0"/>
      <w:marBottom w:val="0"/>
      <w:divBdr>
        <w:top w:val="none" w:sz="0" w:space="0" w:color="auto"/>
        <w:left w:val="none" w:sz="0" w:space="0" w:color="auto"/>
        <w:bottom w:val="none" w:sz="0" w:space="0" w:color="auto"/>
        <w:right w:val="none" w:sz="0" w:space="0" w:color="auto"/>
      </w:divBdr>
    </w:div>
    <w:div w:id="2118519805">
      <w:bodyDiv w:val="1"/>
      <w:marLeft w:val="0"/>
      <w:marRight w:val="0"/>
      <w:marTop w:val="0"/>
      <w:marBottom w:val="0"/>
      <w:divBdr>
        <w:top w:val="none" w:sz="0" w:space="0" w:color="auto"/>
        <w:left w:val="none" w:sz="0" w:space="0" w:color="auto"/>
        <w:bottom w:val="none" w:sz="0" w:space="0" w:color="auto"/>
        <w:right w:val="none" w:sz="0" w:space="0" w:color="auto"/>
      </w:divBdr>
    </w:div>
    <w:div w:id="2127651136">
      <w:bodyDiv w:val="1"/>
      <w:marLeft w:val="0"/>
      <w:marRight w:val="0"/>
      <w:marTop w:val="0"/>
      <w:marBottom w:val="0"/>
      <w:divBdr>
        <w:top w:val="none" w:sz="0" w:space="0" w:color="auto"/>
        <w:left w:val="none" w:sz="0" w:space="0" w:color="auto"/>
        <w:bottom w:val="none" w:sz="0" w:space="0" w:color="auto"/>
        <w:right w:val="none" w:sz="0" w:space="0" w:color="auto"/>
      </w:divBdr>
    </w:div>
    <w:div w:id="2143107828">
      <w:bodyDiv w:val="1"/>
      <w:marLeft w:val="0"/>
      <w:marRight w:val="0"/>
      <w:marTop w:val="0"/>
      <w:marBottom w:val="0"/>
      <w:divBdr>
        <w:top w:val="none" w:sz="0" w:space="0" w:color="auto"/>
        <w:left w:val="none" w:sz="0" w:space="0" w:color="auto"/>
        <w:bottom w:val="none" w:sz="0" w:space="0" w:color="auto"/>
        <w:right w:val="none" w:sz="0" w:space="0" w:color="auto"/>
      </w:divBdr>
    </w:div>
    <w:div w:id="214311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8.png"/><Relationship Id="rId42" Type="http://schemas.openxmlformats.org/officeDocument/2006/relationships/image" Target="media/image20.png"/><Relationship Id="rId47" Type="http://schemas.openxmlformats.org/officeDocument/2006/relationships/chart" Target="charts/chart9.xml"/><Relationship Id="rId63" Type="http://schemas.openxmlformats.org/officeDocument/2006/relationships/chart" Target="charts/chart1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chart" Target="charts/chart1.xml"/><Relationship Id="rId24" Type="http://schemas.openxmlformats.org/officeDocument/2006/relationships/diagramQuickStyle" Target="diagrams/quickStyle1.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7.png"/><Relationship Id="rId14" Type="http://schemas.openxmlformats.org/officeDocument/2006/relationships/chart" Target="charts/chart3.xml"/><Relationship Id="rId22" Type="http://schemas.openxmlformats.org/officeDocument/2006/relationships/diagramData" Target="diagrams/data1.xml"/><Relationship Id="rId27" Type="http://schemas.openxmlformats.org/officeDocument/2006/relationships/chart" Target="charts/chart5.xml"/><Relationship Id="rId30" Type="http://schemas.openxmlformats.org/officeDocument/2006/relationships/chart" Target="charts/chart6.xml"/><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chart" Target="charts/chart12.xml"/><Relationship Id="rId69" Type="http://schemas.microsoft.com/office/2016/09/relationships/commentsIds" Target="commentsIds.xml"/><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4.png"/><Relationship Id="rId17" Type="http://schemas.microsoft.com/office/2014/relationships/chartEx" Target="charts/chartEx1.xml"/><Relationship Id="rId25" Type="http://schemas.openxmlformats.org/officeDocument/2006/relationships/diagramColors" Target="diagrams/colors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fontTable" Target="fontTable.xml"/><Relationship Id="rId20" Type="http://schemas.microsoft.com/office/2014/relationships/chartEx" Target="charts/chartEx2.xm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chart" Target="charts/chart10.xml"/><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diagramLayout" Target="diagrams/layout1.xm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3.jpeg"/><Relationship Id="rId31" Type="http://schemas.openxmlformats.org/officeDocument/2006/relationships/chart" Target="charts/chart7.xm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6.png"/><Relationship Id="rId39" Type="http://schemas.openxmlformats.org/officeDocument/2006/relationships/chart" Target="charts/chart8.xml"/><Relationship Id="rId34" Type="http://schemas.openxmlformats.org/officeDocument/2006/relationships/image" Target="media/image13.png"/><Relationship Id="rId50" Type="http://schemas.openxmlformats.org/officeDocument/2006/relationships/image" Target="media/image27.png"/><Relationship Id="rId55"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wabisa\Desktop\2021\October\Requests\Ghana%20Request%20Morn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phiwe\Desktop\1.%20WESGRO\0.%20CURRENT%20WORK\Ghana%20fs\Ghana%20ecpnomic%20revie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phiwe\Desktop\1.%20WESGRO\0.%20CURRENT%20WORK\Ghana%20fs\Ghana%20ecpnomic%20revie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orne\Documents\A_Publications\2021-2022\Wesgro%20IQ_Ghana_2021.10\Data\Ghana%20exports.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orne\Documents\A_Publications\2021-2022\Wesgro%20IQ_Ghana_2021.10\Data\Trade_WC%20and%20Ghana.xlsx" TargetMode="External"/><Relationship Id="rId2" Type="http://schemas.microsoft.com/office/2011/relationships/chartColorStyle" Target="colors7.xml"/><Relationship Id="rId1" Type="http://schemas.microsoft.com/office/2011/relationships/chartStyle" Target="style7.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orne\Documents\A_Publications\2021-2022\Wesgro%20IQ_Ghana_2021.10\Data\WC%20exports%20Ghana%20indsutry.xlsx"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orne\Documents\A_Publications\2021-2022\Wesgro%20IQ_Ghana_2021.10\Data\Import%20WC%20Ghana%20industry.xlsx" TargetMode="External"/><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Morne\Documents\A_Publications\2021-2022\Wesgro%20IQ_Ghana_2021.10\Data\top%20export%20parnters.xls"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Morne\Documents\A_Publications\2021-2022\Wesgro%20IQ_Ghana_2021.10\Data\top%20import%20partner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Sheet2!$I$9</c:f>
              <c:strCache>
                <c:ptCount val="1"/>
                <c:pt idx="0">
                  <c:v>GDP at constant prices</c:v>
                </c:pt>
              </c:strCache>
            </c:strRef>
          </c:tx>
          <c:spPr>
            <a:solidFill>
              <a:schemeClr val="accent1"/>
            </a:solidFill>
            <a:ln>
              <a:noFill/>
            </a:ln>
            <a:effectLst/>
          </c:spPr>
          <c:invertIfNegative val="0"/>
          <c:cat>
            <c:strRef>
              <c:f>Sheet2!$J$8:$T$8</c:f>
              <c:strCache>
                <c:ptCount val="11"/>
                <c:pt idx="0">
                  <c:v>2016</c:v>
                </c:pt>
                <c:pt idx="1">
                  <c:v>2017</c:v>
                </c:pt>
                <c:pt idx="2">
                  <c:v>2018</c:v>
                </c:pt>
                <c:pt idx="3">
                  <c:v>2019</c:v>
                </c:pt>
                <c:pt idx="4">
                  <c:v>2020</c:v>
                </c:pt>
                <c:pt idx="5">
                  <c:v>2021e</c:v>
                </c:pt>
                <c:pt idx="6">
                  <c:v>2022f</c:v>
                </c:pt>
                <c:pt idx="7">
                  <c:v>2023f</c:v>
                </c:pt>
                <c:pt idx="8">
                  <c:v>2024f</c:v>
                </c:pt>
                <c:pt idx="9">
                  <c:v>2025f</c:v>
                </c:pt>
                <c:pt idx="10">
                  <c:v>2026f</c:v>
                </c:pt>
              </c:strCache>
            </c:strRef>
          </c:cat>
          <c:val>
            <c:numRef>
              <c:f>Sheet2!$J$9:$T$9</c:f>
              <c:numCache>
                <c:formatCode>0.00</c:formatCode>
                <c:ptCount val="11"/>
                <c:pt idx="0">
                  <c:v>135.15899999999999</c:v>
                </c:pt>
                <c:pt idx="1">
                  <c:v>146.14599999999999</c:v>
                </c:pt>
                <c:pt idx="2">
                  <c:v>155.20699999999999</c:v>
                </c:pt>
                <c:pt idx="3">
                  <c:v>165.30799999999999</c:v>
                </c:pt>
                <c:pt idx="4">
                  <c:v>165.99299999999999</c:v>
                </c:pt>
                <c:pt idx="5">
                  <c:v>173.815</c:v>
                </c:pt>
                <c:pt idx="6">
                  <c:v>184.542</c:v>
                </c:pt>
                <c:pt idx="7">
                  <c:v>193.12799999999999</c:v>
                </c:pt>
                <c:pt idx="8">
                  <c:v>202.74700000000001</c:v>
                </c:pt>
                <c:pt idx="9">
                  <c:v>214.529</c:v>
                </c:pt>
                <c:pt idx="10">
                  <c:v>225.58500000000001</c:v>
                </c:pt>
              </c:numCache>
            </c:numRef>
          </c:val>
          <c:extLst>
            <c:ext xmlns:c16="http://schemas.microsoft.com/office/drawing/2014/chart" uri="{C3380CC4-5D6E-409C-BE32-E72D297353CC}">
              <c16:uniqueId val="{00000000-8CBB-4526-AB40-4901B65E129E}"/>
            </c:ext>
          </c:extLst>
        </c:ser>
        <c:dLbls>
          <c:showLegendKey val="0"/>
          <c:showVal val="0"/>
          <c:showCatName val="0"/>
          <c:showSerName val="0"/>
          <c:showPercent val="0"/>
          <c:showBubbleSize val="0"/>
        </c:dLbls>
        <c:gapWidth val="50"/>
        <c:axId val="1863735919"/>
        <c:axId val="1863736335"/>
      </c:barChart>
      <c:lineChart>
        <c:grouping val="standard"/>
        <c:varyColors val="0"/>
        <c:ser>
          <c:idx val="1"/>
          <c:order val="1"/>
          <c:tx>
            <c:strRef>
              <c:f>Sheet2!$I$10</c:f>
              <c:strCache>
                <c:ptCount val="1"/>
                <c:pt idx="0">
                  <c:v>Real GDP %</c:v>
                </c:pt>
              </c:strCache>
            </c:strRef>
          </c:tx>
          <c:spPr>
            <a:ln w="28575" cap="rnd">
              <a:solidFill>
                <a:schemeClr val="accent2"/>
              </a:solidFill>
              <a:round/>
            </a:ln>
            <a:effectLst/>
          </c:spPr>
          <c:marker>
            <c:symbol val="none"/>
          </c:marker>
          <c:cat>
            <c:strRef>
              <c:f>Sheet2!$J$8:$T$8</c:f>
              <c:strCache>
                <c:ptCount val="11"/>
                <c:pt idx="0">
                  <c:v>2016</c:v>
                </c:pt>
                <c:pt idx="1">
                  <c:v>2017</c:v>
                </c:pt>
                <c:pt idx="2">
                  <c:v>2018</c:v>
                </c:pt>
                <c:pt idx="3">
                  <c:v>2019</c:v>
                </c:pt>
                <c:pt idx="4">
                  <c:v>2020</c:v>
                </c:pt>
                <c:pt idx="5">
                  <c:v>2021e</c:v>
                </c:pt>
                <c:pt idx="6">
                  <c:v>2022f</c:v>
                </c:pt>
                <c:pt idx="7">
                  <c:v>2023f</c:v>
                </c:pt>
                <c:pt idx="8">
                  <c:v>2024f</c:v>
                </c:pt>
                <c:pt idx="9">
                  <c:v>2025f</c:v>
                </c:pt>
                <c:pt idx="10">
                  <c:v>2026f</c:v>
                </c:pt>
              </c:strCache>
            </c:strRef>
          </c:cat>
          <c:val>
            <c:numRef>
              <c:f>Sheet2!$J$10:$T$10</c:f>
              <c:numCache>
                <c:formatCode>0.00</c:formatCode>
                <c:ptCount val="11"/>
                <c:pt idx="0">
                  <c:v>3.3740000000000001</c:v>
                </c:pt>
                <c:pt idx="1">
                  <c:v>8.1289999999999996</c:v>
                </c:pt>
                <c:pt idx="2">
                  <c:v>6.2</c:v>
                </c:pt>
                <c:pt idx="3">
                  <c:v>6.508</c:v>
                </c:pt>
                <c:pt idx="4">
                  <c:v>0.41399999999999998</c:v>
                </c:pt>
                <c:pt idx="5">
                  <c:v>4.7119999999999997</c:v>
                </c:pt>
                <c:pt idx="6">
                  <c:v>6.1719999999999997</c:v>
                </c:pt>
                <c:pt idx="7">
                  <c:v>4.6529999999999996</c:v>
                </c:pt>
                <c:pt idx="8">
                  <c:v>4.9809999999999999</c:v>
                </c:pt>
                <c:pt idx="9">
                  <c:v>5.8109999999999999</c:v>
                </c:pt>
                <c:pt idx="10">
                  <c:v>5.1529999999999996</c:v>
                </c:pt>
              </c:numCache>
            </c:numRef>
          </c:val>
          <c:smooth val="0"/>
          <c:extLst>
            <c:ext xmlns:c16="http://schemas.microsoft.com/office/drawing/2014/chart" uri="{C3380CC4-5D6E-409C-BE32-E72D297353CC}">
              <c16:uniqueId val="{00000001-8CBB-4526-AB40-4901B65E129E}"/>
            </c:ext>
          </c:extLst>
        </c:ser>
        <c:dLbls>
          <c:showLegendKey val="0"/>
          <c:showVal val="0"/>
          <c:showCatName val="0"/>
          <c:showSerName val="0"/>
          <c:showPercent val="0"/>
          <c:showBubbleSize val="0"/>
        </c:dLbls>
        <c:marker val="1"/>
        <c:smooth val="0"/>
        <c:axId val="1863734255"/>
        <c:axId val="1863735503"/>
      </c:lineChart>
      <c:catAx>
        <c:axId val="1863735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863736335"/>
        <c:crosses val="autoZero"/>
        <c:auto val="1"/>
        <c:lblAlgn val="ctr"/>
        <c:lblOffset val="100"/>
        <c:noMultiLvlLbl val="0"/>
      </c:catAx>
      <c:valAx>
        <c:axId val="1863736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ZA"/>
                  <a:t>GHSbn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863735919"/>
        <c:crosses val="autoZero"/>
        <c:crossBetween val="between"/>
      </c:valAx>
      <c:valAx>
        <c:axId val="1863735503"/>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ZA"/>
                  <a:t>Growth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863734255"/>
        <c:crosses val="max"/>
        <c:crossBetween val="between"/>
      </c:valAx>
      <c:catAx>
        <c:axId val="1863734255"/>
        <c:scaling>
          <c:orientation val="minMax"/>
        </c:scaling>
        <c:delete val="1"/>
        <c:axPos val="b"/>
        <c:numFmt formatCode="General" sourceLinked="1"/>
        <c:majorTickMark val="out"/>
        <c:minorTickMark val="none"/>
        <c:tickLblPos val="nextTo"/>
        <c:crossAx val="1863735503"/>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24380875407682"/>
          <c:y val="2.6953595344720839E-2"/>
          <c:w val="0.83994644526354889"/>
          <c:h val="0.87114456206722346"/>
        </c:manualLayout>
      </c:layout>
      <c:barChart>
        <c:barDir val="col"/>
        <c:grouping val="clustered"/>
        <c:varyColors val="0"/>
        <c:ser>
          <c:idx val="0"/>
          <c:order val="0"/>
          <c:tx>
            <c:strRef>
              <c:f>Sheet1!$B$3</c:f>
              <c:strCache>
                <c:ptCount val="1"/>
                <c:pt idx="0">
                  <c:v>SA </c:v>
                </c:pt>
              </c:strCache>
            </c:strRef>
          </c:tx>
          <c:spPr>
            <a:gradFill rotWithShape="1">
              <a:gsLst>
                <a:gs pos="0">
                  <a:srgbClr val="00B0F0"/>
                </a:gs>
                <a:gs pos="50000">
                  <a:srgbClr val="00B0F0"/>
                </a:gs>
                <a:gs pos="100000">
                  <a:schemeClr val="tx2"/>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Sheet1!$C$2:$F$2</c:f>
              <c:numCache>
                <c:formatCode>General</c:formatCode>
                <c:ptCount val="4"/>
                <c:pt idx="0">
                  <c:v>2017</c:v>
                </c:pt>
                <c:pt idx="1">
                  <c:v>2018</c:v>
                </c:pt>
                <c:pt idx="2">
                  <c:v>2019</c:v>
                </c:pt>
                <c:pt idx="3">
                  <c:v>2020</c:v>
                </c:pt>
              </c:numCache>
            </c:numRef>
          </c:cat>
          <c:val>
            <c:numRef>
              <c:f>Sheet1!$C$3:$F$3</c:f>
              <c:numCache>
                <c:formatCode>#,##0</c:formatCode>
                <c:ptCount val="4"/>
                <c:pt idx="0">
                  <c:v>17705</c:v>
                </c:pt>
                <c:pt idx="1">
                  <c:v>20999</c:v>
                </c:pt>
                <c:pt idx="2">
                  <c:v>18381</c:v>
                </c:pt>
                <c:pt idx="3">
                  <c:v>5257</c:v>
                </c:pt>
              </c:numCache>
            </c:numRef>
          </c:val>
          <c:extLst>
            <c:ext xmlns:c16="http://schemas.microsoft.com/office/drawing/2014/chart" uri="{C3380CC4-5D6E-409C-BE32-E72D297353CC}">
              <c16:uniqueId val="{00000000-D87A-4FB4-83FF-B44E21265605}"/>
            </c:ext>
          </c:extLst>
        </c:ser>
        <c:dLbls>
          <c:dLblPos val="outEnd"/>
          <c:showLegendKey val="0"/>
          <c:showVal val="1"/>
          <c:showCatName val="0"/>
          <c:showSerName val="0"/>
          <c:showPercent val="0"/>
          <c:showBubbleSize val="0"/>
        </c:dLbls>
        <c:gapWidth val="100"/>
        <c:axId val="1942877311"/>
        <c:axId val="1942878143"/>
      </c:barChart>
      <c:catAx>
        <c:axId val="194287731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942878143"/>
        <c:crosses val="autoZero"/>
        <c:auto val="1"/>
        <c:lblAlgn val="ctr"/>
        <c:lblOffset val="100"/>
        <c:noMultiLvlLbl val="0"/>
      </c:catAx>
      <c:valAx>
        <c:axId val="19428781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ZA"/>
                  <a:t>Number of Arrivals</a:t>
                </a:r>
              </a:p>
            </c:rich>
          </c:tx>
          <c:layout>
            <c:manualLayout>
              <c:xMode val="edge"/>
              <c:yMode val="edge"/>
              <c:x val="1.2158054711246201E-2"/>
              <c:y val="0.324807137892133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9428773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5576942201969"/>
          <c:y val="2.5197205478965638E-2"/>
          <c:w val="0.8430963219116776"/>
          <c:h val="0.88304059512290389"/>
        </c:manualLayout>
      </c:layout>
      <c:barChart>
        <c:barDir val="col"/>
        <c:grouping val="clustered"/>
        <c:varyColors val="0"/>
        <c:ser>
          <c:idx val="0"/>
          <c:order val="0"/>
          <c:tx>
            <c:strRef>
              <c:f>Sheet1!$B$6</c:f>
              <c:strCache>
                <c:ptCount val="1"/>
                <c:pt idx="0">
                  <c:v>WC</c:v>
                </c:pt>
              </c:strCache>
            </c:strRef>
          </c:tx>
          <c:spPr>
            <a:gradFill rotWithShape="1">
              <a:gsLst>
                <a:gs pos="0">
                  <a:srgbClr val="00B0F0"/>
                </a:gs>
                <a:gs pos="50000">
                  <a:srgbClr val="00B0F0"/>
                </a:gs>
                <a:gs pos="100000">
                  <a:srgbClr val="0070C0"/>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Sheet1!$C$5:$E$5</c:f>
              <c:numCache>
                <c:formatCode>General</c:formatCode>
                <c:ptCount val="3"/>
                <c:pt idx="0">
                  <c:v>2017</c:v>
                </c:pt>
                <c:pt idx="1">
                  <c:v>2018</c:v>
                </c:pt>
                <c:pt idx="2">
                  <c:v>2019</c:v>
                </c:pt>
              </c:numCache>
            </c:numRef>
          </c:cat>
          <c:val>
            <c:numRef>
              <c:f>Sheet1!$C$6:$E$6</c:f>
              <c:numCache>
                <c:formatCode>#,##0</c:formatCode>
                <c:ptCount val="3"/>
                <c:pt idx="0">
                  <c:v>3505</c:v>
                </c:pt>
                <c:pt idx="1">
                  <c:v>3929</c:v>
                </c:pt>
                <c:pt idx="2">
                  <c:v>4298</c:v>
                </c:pt>
              </c:numCache>
            </c:numRef>
          </c:val>
          <c:extLst>
            <c:ext xmlns:c16="http://schemas.microsoft.com/office/drawing/2014/chart" uri="{C3380CC4-5D6E-409C-BE32-E72D297353CC}">
              <c16:uniqueId val="{00000000-432C-46DA-8B7D-3383B6E94D5F}"/>
            </c:ext>
          </c:extLst>
        </c:ser>
        <c:dLbls>
          <c:dLblPos val="outEnd"/>
          <c:showLegendKey val="0"/>
          <c:showVal val="1"/>
          <c:showCatName val="0"/>
          <c:showSerName val="0"/>
          <c:showPercent val="0"/>
          <c:showBubbleSize val="0"/>
        </c:dLbls>
        <c:gapWidth val="100"/>
        <c:axId val="1888284751"/>
        <c:axId val="1888291823"/>
      </c:barChart>
      <c:catAx>
        <c:axId val="18882847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888291823"/>
        <c:crosses val="autoZero"/>
        <c:auto val="1"/>
        <c:lblAlgn val="ctr"/>
        <c:lblOffset val="100"/>
        <c:noMultiLvlLbl val="0"/>
      </c:catAx>
      <c:valAx>
        <c:axId val="188829182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ZA"/>
                  <a:t>Number of Arrivals</a:t>
                </a:r>
              </a:p>
            </c:rich>
          </c:tx>
          <c:layout>
            <c:manualLayout>
              <c:xMode val="edge"/>
              <c:yMode val="edge"/>
              <c:x val="2.1668984264181689E-2"/>
              <c:y val="0.27471597617377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8882847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0B0F0"/>
              </a:solid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Helvetica" panose="020B0604020202020204" pitchFamily="34" charset="0"/>
                    <a:ea typeface="+mn-ea"/>
                    <a:cs typeface="Helvetica"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Sheet1!$B$9:$AF$9</c:f>
              <c:numCache>
                <c:formatCode>mmm\-yy</c:formatCode>
                <c:ptCount val="31"/>
                <c:pt idx="0">
                  <c:v>43484</c:v>
                </c:pt>
                <c:pt idx="1">
                  <c:v>43515</c:v>
                </c:pt>
                <c:pt idx="2">
                  <c:v>43543</c:v>
                </c:pt>
                <c:pt idx="3">
                  <c:v>43574</c:v>
                </c:pt>
                <c:pt idx="4">
                  <c:v>43604</c:v>
                </c:pt>
                <c:pt idx="5">
                  <c:v>43635</c:v>
                </c:pt>
                <c:pt idx="6">
                  <c:v>43665</c:v>
                </c:pt>
                <c:pt idx="7">
                  <c:v>43696</c:v>
                </c:pt>
                <c:pt idx="8">
                  <c:v>43727</c:v>
                </c:pt>
                <c:pt idx="9">
                  <c:v>43757</c:v>
                </c:pt>
                <c:pt idx="10">
                  <c:v>43788</c:v>
                </c:pt>
                <c:pt idx="11">
                  <c:v>43818</c:v>
                </c:pt>
                <c:pt idx="12">
                  <c:v>43849</c:v>
                </c:pt>
                <c:pt idx="13">
                  <c:v>43880</c:v>
                </c:pt>
                <c:pt idx="14">
                  <c:v>43909</c:v>
                </c:pt>
                <c:pt idx="15">
                  <c:v>43940</c:v>
                </c:pt>
                <c:pt idx="16">
                  <c:v>43970</c:v>
                </c:pt>
                <c:pt idx="17">
                  <c:v>44001</c:v>
                </c:pt>
                <c:pt idx="18">
                  <c:v>44031</c:v>
                </c:pt>
                <c:pt idx="19">
                  <c:v>44062</c:v>
                </c:pt>
                <c:pt idx="20">
                  <c:v>44093</c:v>
                </c:pt>
                <c:pt idx="21">
                  <c:v>44123</c:v>
                </c:pt>
                <c:pt idx="22">
                  <c:v>44154</c:v>
                </c:pt>
                <c:pt idx="23">
                  <c:v>44184</c:v>
                </c:pt>
                <c:pt idx="24">
                  <c:v>44215</c:v>
                </c:pt>
                <c:pt idx="25">
                  <c:v>44246</c:v>
                </c:pt>
                <c:pt idx="26">
                  <c:v>44274</c:v>
                </c:pt>
                <c:pt idx="27">
                  <c:v>44305</c:v>
                </c:pt>
                <c:pt idx="28">
                  <c:v>44335</c:v>
                </c:pt>
                <c:pt idx="29">
                  <c:v>44366</c:v>
                </c:pt>
                <c:pt idx="30">
                  <c:v>44396</c:v>
                </c:pt>
              </c:numCache>
            </c:numRef>
          </c:cat>
          <c:val>
            <c:numRef>
              <c:f>Sheet1!$B$10:$AF$10</c:f>
              <c:numCache>
                <c:formatCode>General</c:formatCode>
                <c:ptCount val="31"/>
                <c:pt idx="0">
                  <c:v>855</c:v>
                </c:pt>
                <c:pt idx="1">
                  <c:v>1278</c:v>
                </c:pt>
                <c:pt idx="2">
                  <c:v>783</c:v>
                </c:pt>
                <c:pt idx="3">
                  <c:v>939</c:v>
                </c:pt>
                <c:pt idx="4">
                  <c:v>637</c:v>
                </c:pt>
                <c:pt idx="5">
                  <c:v>479</c:v>
                </c:pt>
                <c:pt idx="6">
                  <c:v>593</c:v>
                </c:pt>
                <c:pt idx="7">
                  <c:v>593</c:v>
                </c:pt>
                <c:pt idx="8">
                  <c:v>829</c:v>
                </c:pt>
                <c:pt idx="9">
                  <c:v>657</c:v>
                </c:pt>
                <c:pt idx="10">
                  <c:v>798</c:v>
                </c:pt>
                <c:pt idx="11">
                  <c:v>790</c:v>
                </c:pt>
                <c:pt idx="12">
                  <c:v>774</c:v>
                </c:pt>
                <c:pt idx="13">
                  <c:v>931</c:v>
                </c:pt>
                <c:pt idx="14">
                  <c:v>611</c:v>
                </c:pt>
                <c:pt idx="15">
                  <c:v>0</c:v>
                </c:pt>
                <c:pt idx="16">
                  <c:v>0</c:v>
                </c:pt>
                <c:pt idx="17">
                  <c:v>0</c:v>
                </c:pt>
                <c:pt idx="18">
                  <c:v>0</c:v>
                </c:pt>
                <c:pt idx="19">
                  <c:v>2</c:v>
                </c:pt>
                <c:pt idx="20">
                  <c:v>8</c:v>
                </c:pt>
                <c:pt idx="21">
                  <c:v>39</c:v>
                </c:pt>
                <c:pt idx="22">
                  <c:v>173</c:v>
                </c:pt>
                <c:pt idx="23">
                  <c:v>139</c:v>
                </c:pt>
                <c:pt idx="24">
                  <c:v>70</c:v>
                </c:pt>
                <c:pt idx="25">
                  <c:v>122</c:v>
                </c:pt>
                <c:pt idx="26">
                  <c:v>122</c:v>
                </c:pt>
                <c:pt idx="27">
                  <c:v>254</c:v>
                </c:pt>
                <c:pt idx="28">
                  <c:v>209</c:v>
                </c:pt>
                <c:pt idx="29">
                  <c:v>186</c:v>
                </c:pt>
                <c:pt idx="30">
                  <c:v>107</c:v>
                </c:pt>
              </c:numCache>
            </c:numRef>
          </c:val>
          <c:smooth val="0"/>
          <c:extLst>
            <c:ext xmlns:c16="http://schemas.microsoft.com/office/drawing/2014/chart" uri="{C3380CC4-5D6E-409C-BE32-E72D297353CC}">
              <c16:uniqueId val="{00000000-0F57-4C49-8FFE-33D761C4B7B3}"/>
            </c:ext>
          </c:extLst>
        </c:ser>
        <c:dLbls>
          <c:dLblPos val="t"/>
          <c:showLegendKey val="0"/>
          <c:showVal val="1"/>
          <c:showCatName val="0"/>
          <c:showSerName val="0"/>
          <c:showPercent val="0"/>
          <c:showBubbleSize val="0"/>
        </c:dLbls>
        <c:marker val="1"/>
        <c:smooth val="0"/>
        <c:axId val="2132135423"/>
        <c:axId val="2132121279"/>
      </c:lineChart>
      <c:dateAx>
        <c:axId val="21321354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panose="020B0604020202020204" pitchFamily="34" charset="0"/>
                <a:ea typeface="+mn-ea"/>
                <a:cs typeface="Helvetica" panose="020B0604020202020204" pitchFamily="34" charset="0"/>
              </a:defRPr>
            </a:pPr>
            <a:endParaRPr lang="en-US"/>
          </a:p>
        </c:txPr>
        <c:crossAx val="2132121279"/>
        <c:crosses val="autoZero"/>
        <c:auto val="1"/>
        <c:lblOffset val="100"/>
        <c:baseTimeUnit val="months"/>
      </c:dateAx>
      <c:valAx>
        <c:axId val="2132121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Helvetica" panose="020B0604020202020204" pitchFamily="34" charset="0"/>
                    <a:ea typeface="+mn-ea"/>
                    <a:cs typeface="Helvetica" panose="020B0604020202020204" pitchFamily="34" charset="0"/>
                  </a:defRPr>
                </a:pPr>
                <a:r>
                  <a:rPr lang="en-ZA"/>
                  <a:t>Number of Aririvals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Helvetica" panose="020B0604020202020204" pitchFamily="34" charset="0"/>
                  <a:ea typeface="+mn-ea"/>
                  <a:cs typeface="Helvetica"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elvetica" panose="020B0604020202020204" pitchFamily="34" charset="0"/>
                <a:ea typeface="+mn-ea"/>
                <a:cs typeface="Helvetica" panose="020B0604020202020204" pitchFamily="34" charset="0"/>
              </a:defRPr>
            </a:pPr>
            <a:endParaRPr lang="en-US"/>
          </a:p>
        </c:txPr>
        <c:crossAx val="21321354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Sheet4!$H$11</c:f>
              <c:strCache>
                <c:ptCount val="1"/>
                <c:pt idx="0">
                  <c:v>Consumer Expenditure (GHSbn)</c:v>
                </c:pt>
              </c:strCache>
            </c:strRef>
          </c:tx>
          <c:spPr>
            <a:solidFill>
              <a:schemeClr val="accent1"/>
            </a:solidFill>
            <a:ln>
              <a:noFill/>
            </a:ln>
            <a:effectLst/>
          </c:spPr>
          <c:invertIfNegative val="0"/>
          <c:cat>
            <c:strRef>
              <c:f>Sheet4!$I$10:$M$10</c:f>
              <c:strCache>
                <c:ptCount val="5"/>
                <c:pt idx="0">
                  <c:v>2016</c:v>
                </c:pt>
                <c:pt idx="1">
                  <c:v>2017</c:v>
                </c:pt>
                <c:pt idx="2">
                  <c:v>2018</c:v>
                </c:pt>
                <c:pt idx="3">
                  <c:v>2019</c:v>
                </c:pt>
                <c:pt idx="4">
                  <c:v>2020</c:v>
                </c:pt>
              </c:strCache>
            </c:strRef>
          </c:cat>
          <c:val>
            <c:numRef>
              <c:f>Sheet4!$I$11:$M$11</c:f>
              <c:numCache>
                <c:formatCode>0.00</c:formatCode>
                <c:ptCount val="5"/>
                <c:pt idx="0">
                  <c:v>158.0215</c:v>
                </c:pt>
                <c:pt idx="1">
                  <c:v>197.69329999999999</c:v>
                </c:pt>
                <c:pt idx="2">
                  <c:v>220.0951</c:v>
                </c:pt>
                <c:pt idx="3">
                  <c:v>268.34040000000005</c:v>
                </c:pt>
                <c:pt idx="4">
                  <c:v>292.02300000000002</c:v>
                </c:pt>
              </c:numCache>
            </c:numRef>
          </c:val>
          <c:extLst>
            <c:ext xmlns:c16="http://schemas.microsoft.com/office/drawing/2014/chart" uri="{C3380CC4-5D6E-409C-BE32-E72D297353CC}">
              <c16:uniqueId val="{00000000-B924-4D59-A22B-157DBBE8ABC1}"/>
            </c:ext>
          </c:extLst>
        </c:ser>
        <c:dLbls>
          <c:showLegendKey val="0"/>
          <c:showVal val="0"/>
          <c:showCatName val="0"/>
          <c:showSerName val="0"/>
          <c:showPercent val="0"/>
          <c:showBubbleSize val="0"/>
        </c:dLbls>
        <c:gapWidth val="50"/>
        <c:axId val="1451126207"/>
        <c:axId val="1451128287"/>
      </c:barChart>
      <c:lineChart>
        <c:grouping val="standard"/>
        <c:varyColors val="0"/>
        <c:ser>
          <c:idx val="1"/>
          <c:order val="1"/>
          <c:tx>
            <c:strRef>
              <c:f>Sheet4!$H$12</c:f>
              <c:strCache>
                <c:ptCount val="1"/>
                <c:pt idx="0">
                  <c:v>Growth %</c:v>
                </c:pt>
              </c:strCache>
            </c:strRef>
          </c:tx>
          <c:spPr>
            <a:ln w="28575" cap="rnd">
              <a:solidFill>
                <a:schemeClr val="accent2"/>
              </a:solidFill>
              <a:round/>
            </a:ln>
            <a:effectLst/>
          </c:spPr>
          <c:marker>
            <c:symbol val="none"/>
          </c:marker>
          <c:cat>
            <c:strRef>
              <c:f>Sheet4!$I$10:$M$10</c:f>
              <c:strCache>
                <c:ptCount val="5"/>
                <c:pt idx="0">
                  <c:v>2016</c:v>
                </c:pt>
                <c:pt idx="1">
                  <c:v>2017</c:v>
                </c:pt>
                <c:pt idx="2">
                  <c:v>2018</c:v>
                </c:pt>
                <c:pt idx="3">
                  <c:v>2019</c:v>
                </c:pt>
                <c:pt idx="4">
                  <c:v>2020</c:v>
                </c:pt>
              </c:strCache>
            </c:strRef>
          </c:cat>
          <c:val>
            <c:numRef>
              <c:f>Sheet4!$I$12:$M$12</c:f>
              <c:numCache>
                <c:formatCode>0.00%</c:formatCode>
                <c:ptCount val="5"/>
                <c:pt idx="0">
                  <c:v>0.171727395411606</c:v>
                </c:pt>
                <c:pt idx="1">
                  <c:v>0.25105317947241351</c:v>
                </c:pt>
                <c:pt idx="2">
                  <c:v>0.11331592927023834</c:v>
                </c:pt>
                <c:pt idx="3">
                  <c:v>0.2192020631081748</c:v>
                </c:pt>
                <c:pt idx="4">
                  <c:v>8.8255812393512031E-2</c:v>
                </c:pt>
              </c:numCache>
            </c:numRef>
          </c:val>
          <c:smooth val="0"/>
          <c:extLst>
            <c:ext xmlns:c16="http://schemas.microsoft.com/office/drawing/2014/chart" uri="{C3380CC4-5D6E-409C-BE32-E72D297353CC}">
              <c16:uniqueId val="{00000001-B924-4D59-A22B-157DBBE8ABC1}"/>
            </c:ext>
          </c:extLst>
        </c:ser>
        <c:dLbls>
          <c:showLegendKey val="0"/>
          <c:showVal val="0"/>
          <c:showCatName val="0"/>
          <c:showSerName val="0"/>
          <c:showPercent val="0"/>
          <c:showBubbleSize val="0"/>
        </c:dLbls>
        <c:marker val="1"/>
        <c:smooth val="0"/>
        <c:axId val="1940257983"/>
        <c:axId val="1940258815"/>
      </c:lineChart>
      <c:catAx>
        <c:axId val="1451126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451128287"/>
        <c:crosses val="autoZero"/>
        <c:auto val="1"/>
        <c:lblAlgn val="ctr"/>
        <c:lblOffset val="100"/>
        <c:noMultiLvlLbl val="0"/>
      </c:catAx>
      <c:valAx>
        <c:axId val="1451128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ZA"/>
                  <a:t>Consumer Expenditure (GHSbn)</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451126207"/>
        <c:crosses val="autoZero"/>
        <c:crossBetween val="between"/>
      </c:valAx>
      <c:valAx>
        <c:axId val="1940258815"/>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ZA"/>
                  <a:t>Growth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940257983"/>
        <c:crosses val="max"/>
        <c:crossBetween val="between"/>
      </c:valAx>
      <c:catAx>
        <c:axId val="1940257983"/>
        <c:scaling>
          <c:orientation val="minMax"/>
        </c:scaling>
        <c:delete val="1"/>
        <c:axPos val="b"/>
        <c:numFmt formatCode="General" sourceLinked="1"/>
        <c:majorTickMark val="out"/>
        <c:minorTickMark val="none"/>
        <c:tickLblPos val="nextTo"/>
        <c:crossAx val="194025881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Sheet5!$S$38:$S$49</c:f>
              <c:strCache>
                <c:ptCount val="12"/>
                <c:pt idx="0">
                  <c:v>Alcoholic Beverages and Tobacco</c:v>
                </c:pt>
                <c:pt idx="1">
                  <c:v>Health Goods and Medical Services</c:v>
                </c:pt>
                <c:pt idx="2">
                  <c:v>Communications</c:v>
                </c:pt>
                <c:pt idx="3">
                  <c:v>Leisure and Recreation</c:v>
                </c:pt>
                <c:pt idx="4">
                  <c:v>Household Goods and Services</c:v>
                </c:pt>
                <c:pt idx="5">
                  <c:v>Miscellaneous Goods and Services</c:v>
                </c:pt>
                <c:pt idx="6">
                  <c:v>Hotels and Catering</c:v>
                </c:pt>
                <c:pt idx="7">
                  <c:v>Transport</c:v>
                </c:pt>
                <c:pt idx="8">
                  <c:v>Clothing and Footwear</c:v>
                </c:pt>
                <c:pt idx="9">
                  <c:v>Education</c:v>
                </c:pt>
                <c:pt idx="10">
                  <c:v>Housing</c:v>
                </c:pt>
                <c:pt idx="11">
                  <c:v>Food and Non-Alcoholic Beverages</c:v>
                </c:pt>
              </c:strCache>
            </c:strRef>
          </c:cat>
          <c:val>
            <c:numRef>
              <c:f>Sheet5!$T$38:$T$49</c:f>
              <c:numCache>
                <c:formatCode>0.00%</c:formatCode>
                <c:ptCount val="12"/>
                <c:pt idx="0">
                  <c:v>4.9581711029610684E-3</c:v>
                </c:pt>
                <c:pt idx="1">
                  <c:v>9.3150197073518168E-3</c:v>
                </c:pt>
                <c:pt idx="2">
                  <c:v>1.8750920304222613E-2</c:v>
                </c:pt>
                <c:pt idx="3">
                  <c:v>1.8932755296671839E-2</c:v>
                </c:pt>
                <c:pt idx="4">
                  <c:v>1.9832684411844274E-2</c:v>
                </c:pt>
                <c:pt idx="5">
                  <c:v>2.0150810038935291E-2</c:v>
                </c:pt>
                <c:pt idx="6">
                  <c:v>5.949839567431333E-2</c:v>
                </c:pt>
                <c:pt idx="7">
                  <c:v>5.949839567431333E-2</c:v>
                </c:pt>
                <c:pt idx="8">
                  <c:v>7.962694719251566E-2</c:v>
                </c:pt>
                <c:pt idx="9">
                  <c:v>0.1243689709372207</c:v>
                </c:pt>
                <c:pt idx="10">
                  <c:v>0.16857850237823735</c:v>
                </c:pt>
                <c:pt idx="11">
                  <c:v>0.41648808484263228</c:v>
                </c:pt>
              </c:numCache>
            </c:numRef>
          </c:val>
          <c:extLst>
            <c:ext xmlns:c16="http://schemas.microsoft.com/office/drawing/2014/chart" uri="{C3380CC4-5D6E-409C-BE32-E72D297353CC}">
              <c16:uniqueId val="{00000000-DAC8-4FB7-8C47-066548D15947}"/>
            </c:ext>
          </c:extLst>
        </c:ser>
        <c:dLbls>
          <c:showLegendKey val="0"/>
          <c:showVal val="1"/>
          <c:showCatName val="0"/>
          <c:showSerName val="0"/>
          <c:showPercent val="0"/>
          <c:showBubbleSize val="0"/>
        </c:dLbls>
        <c:gapWidth val="40"/>
        <c:axId val="1929086687"/>
        <c:axId val="1929091263"/>
      </c:barChart>
      <c:catAx>
        <c:axId val="1929086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929091263"/>
        <c:crosses val="autoZero"/>
        <c:auto val="1"/>
        <c:lblAlgn val="ctr"/>
        <c:lblOffset val="100"/>
        <c:noMultiLvlLbl val="0"/>
      </c:catAx>
      <c:valAx>
        <c:axId val="1929091263"/>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929086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'[Ghana exports.xls]Sheet1'!$A$2</c:f>
              <c:strCache>
                <c:ptCount val="1"/>
                <c:pt idx="0">
                  <c:v>Total exports (USDbn)</c:v>
                </c:pt>
              </c:strCache>
            </c:strRef>
          </c:tx>
          <c:spPr>
            <a:solidFill>
              <a:schemeClr val="accent1"/>
            </a:solidFill>
            <a:ln>
              <a:noFill/>
            </a:ln>
            <a:effectLst/>
          </c:spPr>
          <c:invertIfNegative val="0"/>
          <c:cat>
            <c:numRef>
              <c:f>'[Ghana exports.xls]Sheet1'!$B$1:$K$1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'[Ghana exports.xls]Sheet1'!$B$2:$K$2</c:f>
              <c:numCache>
                <c:formatCode>General</c:formatCode>
                <c:ptCount val="10"/>
                <c:pt idx="0">
                  <c:v>18.149999999999999</c:v>
                </c:pt>
                <c:pt idx="1">
                  <c:v>15.76</c:v>
                </c:pt>
                <c:pt idx="2">
                  <c:v>12.64</c:v>
                </c:pt>
                <c:pt idx="3">
                  <c:v>15.5</c:v>
                </c:pt>
                <c:pt idx="4">
                  <c:v>13.76</c:v>
                </c:pt>
                <c:pt idx="5">
                  <c:v>10.66</c:v>
                </c:pt>
                <c:pt idx="6">
                  <c:v>14.36</c:v>
                </c:pt>
                <c:pt idx="7">
                  <c:v>17.100000000000001</c:v>
                </c:pt>
                <c:pt idx="8">
                  <c:v>16.77</c:v>
                </c:pt>
                <c:pt idx="9">
                  <c:v>12.34</c:v>
                </c:pt>
              </c:numCache>
            </c:numRef>
          </c:val>
          <c:extLst>
            <c:ext xmlns:c16="http://schemas.microsoft.com/office/drawing/2014/chart" uri="{C3380CC4-5D6E-409C-BE32-E72D297353CC}">
              <c16:uniqueId val="{00000000-8D80-4436-9895-B5883FBFFF6E}"/>
            </c:ext>
          </c:extLst>
        </c:ser>
        <c:ser>
          <c:idx val="1"/>
          <c:order val="1"/>
          <c:tx>
            <c:strRef>
              <c:f>'[Ghana exports.xls]Sheet1'!$A$3</c:f>
              <c:strCache>
                <c:ptCount val="1"/>
                <c:pt idx="0">
                  <c:v>Total Imports (USDbn)</c:v>
                </c:pt>
              </c:strCache>
            </c:strRef>
          </c:tx>
          <c:spPr>
            <a:solidFill>
              <a:schemeClr val="accent2"/>
            </a:solidFill>
            <a:ln>
              <a:noFill/>
            </a:ln>
            <a:effectLst/>
          </c:spPr>
          <c:invertIfNegative val="0"/>
          <c:cat>
            <c:numRef>
              <c:f>'[Ghana exports.xls]Sheet1'!$B$1:$K$1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'[Ghana exports.xls]Sheet1'!$B$3:$K$3</c:f>
              <c:numCache>
                <c:formatCode>General</c:formatCode>
                <c:ptCount val="10"/>
                <c:pt idx="0">
                  <c:v>12.6</c:v>
                </c:pt>
                <c:pt idx="1">
                  <c:v>13.58</c:v>
                </c:pt>
                <c:pt idx="2">
                  <c:v>12.79</c:v>
                </c:pt>
                <c:pt idx="3">
                  <c:v>16.79</c:v>
                </c:pt>
                <c:pt idx="4">
                  <c:v>14.69</c:v>
                </c:pt>
                <c:pt idx="5">
                  <c:v>11.36</c:v>
                </c:pt>
                <c:pt idx="6">
                  <c:v>12.72</c:v>
                </c:pt>
                <c:pt idx="7">
                  <c:v>11.88</c:v>
                </c:pt>
                <c:pt idx="8">
                  <c:v>10.44</c:v>
                </c:pt>
                <c:pt idx="9">
                  <c:v>15.79</c:v>
                </c:pt>
              </c:numCache>
            </c:numRef>
          </c:val>
          <c:extLst>
            <c:ext xmlns:c16="http://schemas.microsoft.com/office/drawing/2014/chart" uri="{C3380CC4-5D6E-409C-BE32-E72D297353CC}">
              <c16:uniqueId val="{00000001-8D80-4436-9895-B5883FBFFF6E}"/>
            </c:ext>
          </c:extLst>
        </c:ser>
        <c:ser>
          <c:idx val="2"/>
          <c:order val="2"/>
          <c:tx>
            <c:strRef>
              <c:f>'[Ghana exports.xls]Sheet1'!$A$4</c:f>
              <c:strCache>
                <c:ptCount val="1"/>
                <c:pt idx="0">
                  <c:v>Trade Balance (USDbn)</c:v>
                </c:pt>
              </c:strCache>
            </c:strRef>
          </c:tx>
          <c:spPr>
            <a:solidFill>
              <a:schemeClr val="accent3"/>
            </a:solidFill>
            <a:ln>
              <a:noFill/>
            </a:ln>
            <a:effectLst/>
          </c:spPr>
          <c:invertIfNegative val="0"/>
          <c:cat>
            <c:numRef>
              <c:f>'[Ghana exports.xls]Sheet1'!$B$1:$K$1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'[Ghana exports.xls]Sheet1'!$B$4:$K$4</c:f>
              <c:numCache>
                <c:formatCode>General</c:formatCode>
                <c:ptCount val="10"/>
                <c:pt idx="0">
                  <c:v>5.54</c:v>
                </c:pt>
                <c:pt idx="1">
                  <c:v>2.1800000000000002</c:v>
                </c:pt>
                <c:pt idx="2">
                  <c:v>-0.14000000000000001</c:v>
                </c:pt>
                <c:pt idx="3">
                  <c:v>-1.28</c:v>
                </c:pt>
                <c:pt idx="4">
                  <c:v>-0.93</c:v>
                </c:pt>
                <c:pt idx="5">
                  <c:v>-0.71</c:v>
                </c:pt>
                <c:pt idx="6">
                  <c:v>1.64</c:v>
                </c:pt>
                <c:pt idx="7">
                  <c:v>5.22</c:v>
                </c:pt>
                <c:pt idx="8">
                  <c:v>6.33</c:v>
                </c:pt>
                <c:pt idx="9">
                  <c:v>-3.45</c:v>
                </c:pt>
              </c:numCache>
            </c:numRef>
          </c:val>
          <c:extLst>
            <c:ext xmlns:c16="http://schemas.microsoft.com/office/drawing/2014/chart" uri="{C3380CC4-5D6E-409C-BE32-E72D297353CC}">
              <c16:uniqueId val="{00000002-8D80-4436-9895-B5883FBFFF6E}"/>
            </c:ext>
          </c:extLst>
        </c:ser>
        <c:dLbls>
          <c:showLegendKey val="0"/>
          <c:showVal val="0"/>
          <c:showCatName val="0"/>
          <c:showSerName val="0"/>
          <c:showPercent val="0"/>
          <c:showBubbleSize val="0"/>
        </c:dLbls>
        <c:gapWidth val="50"/>
        <c:axId val="1442027999"/>
        <c:axId val="1442032991"/>
      </c:barChart>
      <c:lineChart>
        <c:grouping val="standard"/>
        <c:varyColors val="0"/>
        <c:ser>
          <c:idx val="3"/>
          <c:order val="3"/>
          <c:tx>
            <c:strRef>
              <c:f>'[Ghana exports.xls]Sheet1'!$A$5</c:f>
              <c:strCache>
                <c:ptCount val="1"/>
                <c:pt idx="0">
                  <c:v>Export Growth (%)</c:v>
                </c:pt>
              </c:strCache>
            </c:strRef>
          </c:tx>
          <c:spPr>
            <a:ln w="28575" cap="rnd">
              <a:solidFill>
                <a:schemeClr val="accent4"/>
              </a:solidFill>
              <a:round/>
            </a:ln>
            <a:effectLst/>
          </c:spPr>
          <c:marker>
            <c:symbol val="none"/>
          </c:marker>
          <c:cat>
            <c:numRef>
              <c:f>'[Ghana exports.xls]Sheet1'!$B$1:$K$1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'[Ghana exports.xls]Sheet1'!$B$5:$K$5</c:f>
              <c:numCache>
                <c:formatCode>0.00%</c:formatCode>
                <c:ptCount val="10"/>
                <c:pt idx="0">
                  <c:v>2.467632</c:v>
                </c:pt>
                <c:pt idx="1">
                  <c:v>-0.13145999999999999</c:v>
                </c:pt>
                <c:pt idx="2">
                  <c:v>-0.19778000000000001</c:v>
                </c:pt>
                <c:pt idx="3">
                  <c:v>0.22623599999999999</c:v>
                </c:pt>
                <c:pt idx="4">
                  <c:v>-0.1128</c:v>
                </c:pt>
                <c:pt idx="5">
                  <c:v>-0.22534999999999999</c:v>
                </c:pt>
                <c:pt idx="6">
                  <c:v>0.34748400000000002</c:v>
                </c:pt>
                <c:pt idx="7">
                  <c:v>0.19090299999999999</c:v>
                </c:pt>
                <c:pt idx="8">
                  <c:v>-1.9380000000000001E-2</c:v>
                </c:pt>
                <c:pt idx="9">
                  <c:v>-0.26395999999999997</c:v>
                </c:pt>
              </c:numCache>
            </c:numRef>
          </c:val>
          <c:smooth val="0"/>
          <c:extLst>
            <c:ext xmlns:c16="http://schemas.microsoft.com/office/drawing/2014/chart" uri="{C3380CC4-5D6E-409C-BE32-E72D297353CC}">
              <c16:uniqueId val="{00000003-8D80-4436-9895-B5883FBFFF6E}"/>
            </c:ext>
          </c:extLst>
        </c:ser>
        <c:ser>
          <c:idx val="4"/>
          <c:order val="4"/>
          <c:tx>
            <c:strRef>
              <c:f>'[Ghana exports.xls]Sheet1'!$A$6</c:f>
              <c:strCache>
                <c:ptCount val="1"/>
                <c:pt idx="0">
                  <c:v>Import Growth (%)</c:v>
                </c:pt>
              </c:strCache>
            </c:strRef>
          </c:tx>
          <c:spPr>
            <a:ln w="28575" cap="rnd">
              <a:solidFill>
                <a:schemeClr val="accent5"/>
              </a:solidFill>
              <a:round/>
            </a:ln>
            <a:effectLst/>
          </c:spPr>
          <c:marker>
            <c:symbol val="none"/>
          </c:marker>
          <c:cat>
            <c:numRef>
              <c:f>'[Ghana exports.xls]Sheet1'!$B$1:$K$1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'[Ghana exports.xls]Sheet1'!$B$6:$K$6</c:f>
              <c:numCache>
                <c:formatCode>0.00%</c:formatCode>
                <c:ptCount val="10"/>
                <c:pt idx="0">
                  <c:v>0.56508199999999997</c:v>
                </c:pt>
                <c:pt idx="1">
                  <c:v>7.7398999999999996E-2</c:v>
                </c:pt>
                <c:pt idx="2">
                  <c:v>-5.8250000000000003E-2</c:v>
                </c:pt>
                <c:pt idx="3">
                  <c:v>0.31274800000000003</c:v>
                </c:pt>
                <c:pt idx="4">
                  <c:v>-0.12504000000000001</c:v>
                </c:pt>
                <c:pt idx="5">
                  <c:v>-0.22647999999999999</c:v>
                </c:pt>
                <c:pt idx="6">
                  <c:v>0.11945600000000001</c:v>
                </c:pt>
                <c:pt idx="7">
                  <c:v>-6.5860000000000002E-2</c:v>
                </c:pt>
                <c:pt idx="8">
                  <c:v>-0.12126000000000001</c:v>
                </c:pt>
                <c:pt idx="9">
                  <c:v>0.51228799999999997</c:v>
                </c:pt>
              </c:numCache>
            </c:numRef>
          </c:val>
          <c:smooth val="0"/>
          <c:extLst>
            <c:ext xmlns:c16="http://schemas.microsoft.com/office/drawing/2014/chart" uri="{C3380CC4-5D6E-409C-BE32-E72D297353CC}">
              <c16:uniqueId val="{00000004-8D80-4436-9895-B5883FBFFF6E}"/>
            </c:ext>
          </c:extLst>
        </c:ser>
        <c:dLbls>
          <c:showLegendKey val="0"/>
          <c:showVal val="0"/>
          <c:showCatName val="0"/>
          <c:showSerName val="0"/>
          <c:showPercent val="0"/>
          <c:showBubbleSize val="0"/>
        </c:dLbls>
        <c:marker val="1"/>
        <c:smooth val="0"/>
        <c:axId val="1963692591"/>
        <c:axId val="1963690511"/>
      </c:lineChart>
      <c:catAx>
        <c:axId val="1442027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442032991"/>
        <c:crosses val="autoZero"/>
        <c:auto val="1"/>
        <c:lblAlgn val="ctr"/>
        <c:lblOffset val="100"/>
        <c:noMultiLvlLbl val="0"/>
      </c:catAx>
      <c:valAx>
        <c:axId val="1442032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ZA"/>
                  <a:t>Value (USDbn)</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442027999"/>
        <c:crosses val="autoZero"/>
        <c:crossBetween val="between"/>
      </c:valAx>
      <c:valAx>
        <c:axId val="1963690511"/>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ZA"/>
                  <a:t>Growth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963692591"/>
        <c:crosses val="max"/>
        <c:crossBetween val="between"/>
      </c:valAx>
      <c:catAx>
        <c:axId val="1963692591"/>
        <c:scaling>
          <c:orientation val="minMax"/>
        </c:scaling>
        <c:delete val="1"/>
        <c:axPos val="b"/>
        <c:numFmt formatCode="General" sourceLinked="1"/>
        <c:majorTickMark val="out"/>
        <c:minorTickMark val="none"/>
        <c:tickLblPos val="nextTo"/>
        <c:crossAx val="1963690511"/>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900">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'[Trade_WC and Ghana.xlsx]Annual'!$A$2</c:f>
              <c:strCache>
                <c:ptCount val="1"/>
                <c:pt idx="0">
                  <c:v>Total exports (ZARm)</c:v>
                </c:pt>
              </c:strCache>
            </c:strRef>
          </c:tx>
          <c:spPr>
            <a:solidFill>
              <a:schemeClr val="accent1"/>
            </a:solidFill>
            <a:ln>
              <a:noFill/>
            </a:ln>
            <a:effectLst/>
          </c:spPr>
          <c:invertIfNegative val="0"/>
          <c:cat>
            <c:numRef>
              <c:f>'[Trade_WC and Ghana.xlsx]Annual'!$B$1:$K$1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'[Trade_WC and Ghana.xlsx]Annual'!$B$2:$K$2</c:f>
              <c:numCache>
                <c:formatCode>General</c:formatCode>
                <c:ptCount val="10"/>
                <c:pt idx="0">
                  <c:v>255.88</c:v>
                </c:pt>
                <c:pt idx="1">
                  <c:v>497.47</c:v>
                </c:pt>
                <c:pt idx="2">
                  <c:v>615.9</c:v>
                </c:pt>
                <c:pt idx="3">
                  <c:v>433.77</c:v>
                </c:pt>
                <c:pt idx="4">
                  <c:v>791.8</c:v>
                </c:pt>
                <c:pt idx="5">
                  <c:v>405.66</c:v>
                </c:pt>
                <c:pt idx="6">
                  <c:v>493.11</c:v>
                </c:pt>
                <c:pt idx="7">
                  <c:v>466.81</c:v>
                </c:pt>
                <c:pt idx="8">
                  <c:v>460.51</c:v>
                </c:pt>
                <c:pt idx="9">
                  <c:v>542.51</c:v>
                </c:pt>
              </c:numCache>
            </c:numRef>
          </c:val>
          <c:extLst>
            <c:ext xmlns:c16="http://schemas.microsoft.com/office/drawing/2014/chart" uri="{C3380CC4-5D6E-409C-BE32-E72D297353CC}">
              <c16:uniqueId val="{00000000-68C1-4FAD-B303-48B9B2E6934A}"/>
            </c:ext>
          </c:extLst>
        </c:ser>
        <c:ser>
          <c:idx val="1"/>
          <c:order val="1"/>
          <c:tx>
            <c:strRef>
              <c:f>'[Trade_WC and Ghana.xlsx]Annual'!$A$3</c:f>
              <c:strCache>
                <c:ptCount val="1"/>
                <c:pt idx="0">
                  <c:v>Total Imports (ZARm)</c:v>
                </c:pt>
              </c:strCache>
            </c:strRef>
          </c:tx>
          <c:spPr>
            <a:solidFill>
              <a:schemeClr val="accent2"/>
            </a:solidFill>
            <a:ln>
              <a:noFill/>
            </a:ln>
            <a:effectLst/>
          </c:spPr>
          <c:invertIfNegative val="0"/>
          <c:cat>
            <c:numRef>
              <c:f>'[Trade_WC and Ghana.xlsx]Annual'!$B$1:$K$1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'[Trade_WC and Ghana.xlsx]Annual'!$B$3:$K$3</c:f>
              <c:numCache>
                <c:formatCode>General</c:formatCode>
                <c:ptCount val="10"/>
                <c:pt idx="0">
                  <c:v>15.79</c:v>
                </c:pt>
                <c:pt idx="1">
                  <c:v>1389.97</c:v>
                </c:pt>
                <c:pt idx="2">
                  <c:v>3951.45</c:v>
                </c:pt>
                <c:pt idx="3">
                  <c:v>6783.65</c:v>
                </c:pt>
                <c:pt idx="4">
                  <c:v>15.4</c:v>
                </c:pt>
                <c:pt idx="5">
                  <c:v>18.79</c:v>
                </c:pt>
                <c:pt idx="6">
                  <c:v>704.18</c:v>
                </c:pt>
                <c:pt idx="7">
                  <c:v>6472.56</c:v>
                </c:pt>
                <c:pt idx="8">
                  <c:v>5025.9399999999996</c:v>
                </c:pt>
                <c:pt idx="9">
                  <c:v>687.39</c:v>
                </c:pt>
              </c:numCache>
            </c:numRef>
          </c:val>
          <c:extLst>
            <c:ext xmlns:c16="http://schemas.microsoft.com/office/drawing/2014/chart" uri="{C3380CC4-5D6E-409C-BE32-E72D297353CC}">
              <c16:uniqueId val="{00000001-68C1-4FAD-B303-48B9B2E6934A}"/>
            </c:ext>
          </c:extLst>
        </c:ser>
        <c:ser>
          <c:idx val="2"/>
          <c:order val="2"/>
          <c:tx>
            <c:strRef>
              <c:f>'[Trade_WC and Ghana.xlsx]Annual'!$A$4</c:f>
              <c:strCache>
                <c:ptCount val="1"/>
                <c:pt idx="0">
                  <c:v>Trade Balance (ZARm)</c:v>
                </c:pt>
              </c:strCache>
            </c:strRef>
          </c:tx>
          <c:spPr>
            <a:solidFill>
              <a:schemeClr val="accent3"/>
            </a:solidFill>
            <a:ln>
              <a:noFill/>
            </a:ln>
            <a:effectLst/>
          </c:spPr>
          <c:invertIfNegative val="0"/>
          <c:cat>
            <c:numRef>
              <c:f>'[Trade_WC and Ghana.xlsx]Annual'!$B$1:$K$1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'[Trade_WC and Ghana.xlsx]Annual'!$B$4:$K$4</c:f>
              <c:numCache>
                <c:formatCode>General</c:formatCode>
                <c:ptCount val="10"/>
                <c:pt idx="0">
                  <c:v>240.09</c:v>
                </c:pt>
                <c:pt idx="1">
                  <c:v>-892.51</c:v>
                </c:pt>
                <c:pt idx="2">
                  <c:v>-3335.55</c:v>
                </c:pt>
                <c:pt idx="3">
                  <c:v>-6349.87</c:v>
                </c:pt>
                <c:pt idx="4">
                  <c:v>776.4</c:v>
                </c:pt>
                <c:pt idx="5">
                  <c:v>386.87</c:v>
                </c:pt>
                <c:pt idx="6">
                  <c:v>-211.07</c:v>
                </c:pt>
                <c:pt idx="7">
                  <c:v>-6005.74</c:v>
                </c:pt>
                <c:pt idx="8">
                  <c:v>-4565.4399999999996</c:v>
                </c:pt>
                <c:pt idx="9">
                  <c:v>-144.88</c:v>
                </c:pt>
              </c:numCache>
            </c:numRef>
          </c:val>
          <c:extLst>
            <c:ext xmlns:c16="http://schemas.microsoft.com/office/drawing/2014/chart" uri="{C3380CC4-5D6E-409C-BE32-E72D297353CC}">
              <c16:uniqueId val="{00000002-68C1-4FAD-B303-48B9B2E6934A}"/>
            </c:ext>
          </c:extLst>
        </c:ser>
        <c:dLbls>
          <c:showLegendKey val="0"/>
          <c:showVal val="0"/>
          <c:showCatName val="0"/>
          <c:showSerName val="0"/>
          <c:showPercent val="0"/>
          <c:showBubbleSize val="0"/>
        </c:dLbls>
        <c:gapWidth val="50"/>
        <c:axId val="1686220495"/>
        <c:axId val="1686228815"/>
      </c:barChart>
      <c:lineChart>
        <c:grouping val="standard"/>
        <c:varyColors val="0"/>
        <c:ser>
          <c:idx val="3"/>
          <c:order val="3"/>
          <c:tx>
            <c:strRef>
              <c:f>'[Trade_WC and Ghana.xlsx]Annual'!$A$5</c:f>
              <c:strCache>
                <c:ptCount val="1"/>
                <c:pt idx="0">
                  <c:v>Export Growth (%)</c:v>
                </c:pt>
              </c:strCache>
            </c:strRef>
          </c:tx>
          <c:spPr>
            <a:ln w="28575" cap="rnd">
              <a:solidFill>
                <a:schemeClr val="accent4"/>
              </a:solidFill>
              <a:round/>
            </a:ln>
            <a:effectLst/>
          </c:spPr>
          <c:marker>
            <c:symbol val="none"/>
          </c:marker>
          <c:cat>
            <c:numRef>
              <c:f>'[Trade_WC and Ghana.xlsx]Annual'!$B$1:$K$1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'[Trade_WC and Ghana.xlsx]Annual'!$B$5:$K$5</c:f>
              <c:numCache>
                <c:formatCode>0.00%</c:formatCode>
                <c:ptCount val="10"/>
                <c:pt idx="0">
                  <c:v>0.32919399999999999</c:v>
                </c:pt>
                <c:pt idx="1">
                  <c:v>0.94411</c:v>
                </c:pt>
                <c:pt idx="2">
                  <c:v>0.238071</c:v>
                </c:pt>
                <c:pt idx="3">
                  <c:v>-0.29570999999999997</c:v>
                </c:pt>
                <c:pt idx="4">
                  <c:v>0.825376</c:v>
                </c:pt>
                <c:pt idx="5">
                  <c:v>-0.48766999999999999</c:v>
                </c:pt>
                <c:pt idx="6">
                  <c:v>0.21557899999999999</c:v>
                </c:pt>
                <c:pt idx="7">
                  <c:v>-5.3330000000000002E-2</c:v>
                </c:pt>
                <c:pt idx="8">
                  <c:v>-1.3509999999999999E-2</c:v>
                </c:pt>
                <c:pt idx="9">
                  <c:v>0.17807300000000001</c:v>
                </c:pt>
              </c:numCache>
            </c:numRef>
          </c:val>
          <c:smooth val="0"/>
          <c:extLst>
            <c:ext xmlns:c16="http://schemas.microsoft.com/office/drawing/2014/chart" uri="{C3380CC4-5D6E-409C-BE32-E72D297353CC}">
              <c16:uniqueId val="{00000003-68C1-4FAD-B303-48B9B2E6934A}"/>
            </c:ext>
          </c:extLst>
        </c:ser>
        <c:ser>
          <c:idx val="4"/>
          <c:order val="4"/>
          <c:tx>
            <c:strRef>
              <c:f>'[Trade_WC and Ghana.xlsx]Annual'!$A$6</c:f>
              <c:strCache>
                <c:ptCount val="1"/>
                <c:pt idx="0">
                  <c:v>Import Growth (%)</c:v>
                </c:pt>
              </c:strCache>
            </c:strRef>
          </c:tx>
          <c:spPr>
            <a:ln w="28575" cap="rnd">
              <a:solidFill>
                <a:schemeClr val="accent5"/>
              </a:solidFill>
              <a:round/>
            </a:ln>
            <a:effectLst/>
          </c:spPr>
          <c:marker>
            <c:symbol val="none"/>
          </c:marker>
          <c:cat>
            <c:numRef>
              <c:f>'[Trade_WC and Ghana.xlsx]Annual'!$B$1:$K$1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'[Trade_WC and Ghana.xlsx]Annual'!$B$6:$K$6</c:f>
              <c:numCache>
                <c:formatCode>0.00%</c:formatCode>
                <c:ptCount val="10"/>
                <c:pt idx="0">
                  <c:v>5.2815000000000001E-2</c:v>
                </c:pt>
                <c:pt idx="1">
                  <c:v>87.006140000000002</c:v>
                </c:pt>
                <c:pt idx="2">
                  <c:v>1.842824</c:v>
                </c:pt>
                <c:pt idx="3">
                  <c:v>0.71674899999999997</c:v>
                </c:pt>
                <c:pt idx="4">
                  <c:v>-0.99773000000000001</c:v>
                </c:pt>
                <c:pt idx="5">
                  <c:v>0.219971</c:v>
                </c:pt>
                <c:pt idx="6">
                  <c:v>36.481929999999998</c:v>
                </c:pt>
                <c:pt idx="7">
                  <c:v>8.191573</c:v>
                </c:pt>
                <c:pt idx="8">
                  <c:v>-0.2235</c:v>
                </c:pt>
                <c:pt idx="9">
                  <c:v>-0.86323000000000005</c:v>
                </c:pt>
              </c:numCache>
            </c:numRef>
          </c:val>
          <c:smooth val="0"/>
          <c:extLst>
            <c:ext xmlns:c16="http://schemas.microsoft.com/office/drawing/2014/chart" uri="{C3380CC4-5D6E-409C-BE32-E72D297353CC}">
              <c16:uniqueId val="{00000004-68C1-4FAD-B303-48B9B2E6934A}"/>
            </c:ext>
          </c:extLst>
        </c:ser>
        <c:dLbls>
          <c:showLegendKey val="0"/>
          <c:showVal val="0"/>
          <c:showCatName val="0"/>
          <c:showSerName val="0"/>
          <c:showPercent val="0"/>
          <c:showBubbleSize val="0"/>
        </c:dLbls>
        <c:marker val="1"/>
        <c:smooth val="0"/>
        <c:axId val="1686249199"/>
        <c:axId val="1686245871"/>
      </c:lineChart>
      <c:catAx>
        <c:axId val="1686220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686228815"/>
        <c:crosses val="autoZero"/>
        <c:auto val="1"/>
        <c:lblAlgn val="ctr"/>
        <c:lblOffset val="100"/>
        <c:noMultiLvlLbl val="0"/>
      </c:catAx>
      <c:valAx>
        <c:axId val="1686228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ZA"/>
                  <a:t>Value (ZARm)</a:t>
                </a:r>
              </a:p>
            </c:rich>
          </c:tx>
          <c:layout>
            <c:manualLayout>
              <c:xMode val="edge"/>
              <c:yMode val="edge"/>
              <c:x val="2.1189894050529748E-2"/>
              <c:y val="0.2779600466608340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686220495"/>
        <c:crosses val="autoZero"/>
        <c:crossBetween val="between"/>
      </c:valAx>
      <c:valAx>
        <c:axId val="1686245871"/>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ZA"/>
                  <a:t>Growth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686249199"/>
        <c:crosses val="max"/>
        <c:crossBetween val="between"/>
      </c:valAx>
      <c:catAx>
        <c:axId val="1686249199"/>
        <c:scaling>
          <c:orientation val="minMax"/>
        </c:scaling>
        <c:delete val="1"/>
        <c:axPos val="b"/>
        <c:numFmt formatCode="General" sourceLinked="1"/>
        <c:majorTickMark val="out"/>
        <c:minorTickMark val="none"/>
        <c:tickLblPos val="nextTo"/>
        <c:crossAx val="1686245871"/>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'[WC exports Ghana indsutry.xlsx]Sheet1'!$B$13</c:f>
              <c:strCache>
                <c:ptCount val="1"/>
                <c:pt idx="0">
                  <c:v>% Share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'[WC exports Ghana indsutry.xlsx]Sheet1'!$A$14:$A$23</c:f>
              <c:strCache>
                <c:ptCount val="10"/>
                <c:pt idx="0">
                  <c:v>Textiles, clothing and leather goods  </c:v>
                </c:pt>
                <c:pt idx="1">
                  <c:v>Electrical machinery and apparatus </c:v>
                </c:pt>
                <c:pt idx="2">
                  <c:v>Wood and paper; publishing and printing </c:v>
                </c:pt>
                <c:pt idx="3">
                  <c:v>Radio, TV, instruments, watches and clocks </c:v>
                </c:pt>
                <c:pt idx="4">
                  <c:v>Transport equipment  </c:v>
                </c:pt>
                <c:pt idx="5">
                  <c:v>Furniture; other manufacturing  </c:v>
                </c:pt>
                <c:pt idx="6">
                  <c:v>Petroleum products, chemicals, rubber and plastic </c:v>
                </c:pt>
                <c:pt idx="7">
                  <c:v>Metals, metal products, machinery and equipment  </c:v>
                </c:pt>
                <c:pt idx="8">
                  <c:v>Agriculture, forestry and fishing</c:v>
                </c:pt>
                <c:pt idx="9">
                  <c:v>Food, beverages and tobacco</c:v>
                </c:pt>
              </c:strCache>
            </c:strRef>
          </c:cat>
          <c:val>
            <c:numRef>
              <c:f>'[WC exports Ghana indsutry.xlsx]Sheet1'!$B$14:$B$23</c:f>
              <c:numCache>
                <c:formatCode>0.00%</c:formatCode>
                <c:ptCount val="10"/>
                <c:pt idx="0">
                  <c:v>1.1491820447031403E-2</c:v>
                </c:pt>
                <c:pt idx="1">
                  <c:v>1.7293722975853416E-2</c:v>
                </c:pt>
                <c:pt idx="2">
                  <c:v>1.8822430050972287E-2</c:v>
                </c:pt>
                <c:pt idx="3">
                  <c:v>3.4074751343216261E-2</c:v>
                </c:pt>
                <c:pt idx="4">
                  <c:v>3.4343987762232978E-2</c:v>
                </c:pt>
                <c:pt idx="5">
                  <c:v>8.2743928907134084E-2</c:v>
                </c:pt>
                <c:pt idx="6">
                  <c:v>8.5507143137268302E-2</c:v>
                </c:pt>
                <c:pt idx="7">
                  <c:v>0.1221234878243551</c:v>
                </c:pt>
                <c:pt idx="8">
                  <c:v>0.22833910761988541</c:v>
                </c:pt>
                <c:pt idx="9">
                  <c:v>0.35481603980758813</c:v>
                </c:pt>
              </c:numCache>
            </c:numRef>
          </c:val>
          <c:extLst>
            <c:ext xmlns:c16="http://schemas.microsoft.com/office/drawing/2014/chart" uri="{C3380CC4-5D6E-409C-BE32-E72D297353CC}">
              <c16:uniqueId val="{00000000-9359-4583-9081-05DE550C2076}"/>
            </c:ext>
          </c:extLst>
        </c:ser>
        <c:dLbls>
          <c:dLblPos val="outEnd"/>
          <c:showLegendKey val="0"/>
          <c:showVal val="1"/>
          <c:showCatName val="0"/>
          <c:showSerName val="0"/>
          <c:showPercent val="0"/>
          <c:showBubbleSize val="0"/>
        </c:dLbls>
        <c:gapWidth val="50"/>
        <c:axId val="1767118287"/>
        <c:axId val="1767117039"/>
      </c:barChart>
      <c:catAx>
        <c:axId val="1767118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767117039"/>
        <c:crosses val="autoZero"/>
        <c:auto val="1"/>
        <c:lblAlgn val="ctr"/>
        <c:lblOffset val="100"/>
        <c:noMultiLvlLbl val="0"/>
      </c:catAx>
      <c:valAx>
        <c:axId val="17671170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767118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'[Import WC Ghana industry.xlsx]Sheet1'!$B$14</c:f>
              <c:strCache>
                <c:ptCount val="1"/>
                <c:pt idx="0">
                  <c:v>% Share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'[Import WC Ghana industry.xlsx]Sheet1'!$A$15:$A$24</c:f>
              <c:strCache>
                <c:ptCount val="10"/>
                <c:pt idx="0">
                  <c:v>Electrical machinery and apparatus  </c:v>
                </c:pt>
                <c:pt idx="1">
                  <c:v>Transport equipment  </c:v>
                </c:pt>
                <c:pt idx="2">
                  <c:v>Radio, TV, instruments, watches and clocks  </c:v>
                </c:pt>
                <c:pt idx="3">
                  <c:v>Furniture; other manufacturing  </c:v>
                </c:pt>
                <c:pt idx="4">
                  <c:v>Agriculture, forestry and fishing  </c:v>
                </c:pt>
                <c:pt idx="5">
                  <c:v>Petroleum products, chemicals, rubber and plastic  </c:v>
                </c:pt>
                <c:pt idx="6">
                  <c:v>Metals, metal products, machinery and equipment  </c:v>
                </c:pt>
                <c:pt idx="7">
                  <c:v>Food, beverages and tobacco  </c:v>
                </c:pt>
                <c:pt idx="8">
                  <c:v>Wood and paper; publishing and printing  </c:v>
                </c:pt>
                <c:pt idx="9">
                  <c:v>Mining and quarrying  </c:v>
                </c:pt>
              </c:strCache>
            </c:strRef>
          </c:cat>
          <c:val>
            <c:numRef>
              <c:f>'[Import WC Ghana industry.xlsx]Sheet1'!$B$15:$B$24</c:f>
              <c:numCache>
                <c:formatCode>0.00%</c:formatCode>
                <c:ptCount val="10"/>
                <c:pt idx="0">
                  <c:v>3.0768475271393882E-6</c:v>
                </c:pt>
                <c:pt idx="1">
                  <c:v>1.2502766289595291E-4</c:v>
                </c:pt>
                <c:pt idx="2">
                  <c:v>2.3669904345305633E-4</c:v>
                </c:pt>
                <c:pt idx="3">
                  <c:v>3.9422199864863692E-4</c:v>
                </c:pt>
                <c:pt idx="4">
                  <c:v>1.4951907825713356E-3</c:v>
                </c:pt>
                <c:pt idx="5">
                  <c:v>1.6263357711654544E-3</c:v>
                </c:pt>
                <c:pt idx="6">
                  <c:v>2.1270967068365621E-3</c:v>
                </c:pt>
                <c:pt idx="7">
                  <c:v>3.7601258943010087E-3</c:v>
                </c:pt>
                <c:pt idx="8">
                  <c:v>4.6861653491925602E-3</c:v>
                </c:pt>
                <c:pt idx="9">
                  <c:v>0.98554456443548488</c:v>
                </c:pt>
              </c:numCache>
            </c:numRef>
          </c:val>
          <c:extLst>
            <c:ext xmlns:c16="http://schemas.microsoft.com/office/drawing/2014/chart" uri="{C3380CC4-5D6E-409C-BE32-E72D297353CC}">
              <c16:uniqueId val="{00000000-FD20-4444-863A-34B437A5BA6A}"/>
            </c:ext>
          </c:extLst>
        </c:ser>
        <c:dLbls>
          <c:dLblPos val="outEnd"/>
          <c:showLegendKey val="0"/>
          <c:showVal val="1"/>
          <c:showCatName val="0"/>
          <c:showSerName val="0"/>
          <c:showPercent val="0"/>
          <c:showBubbleSize val="0"/>
        </c:dLbls>
        <c:gapWidth val="50"/>
        <c:axId val="1686235887"/>
        <c:axId val="1686238383"/>
      </c:barChart>
      <c:catAx>
        <c:axId val="1686235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686238383"/>
        <c:crosses val="autoZero"/>
        <c:auto val="1"/>
        <c:lblAlgn val="ctr"/>
        <c:lblOffset val="100"/>
        <c:noMultiLvlLbl val="0"/>
      </c:catAx>
      <c:valAx>
        <c:axId val="16862383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686235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821576763485476E-2"/>
          <c:y val="2.826455624646693E-2"/>
          <c:w val="0.9543568464730291"/>
          <c:h val="0.78558774698103384"/>
        </c:manualLayout>
      </c:layout>
      <c:barChart>
        <c:barDir val="col"/>
        <c:grouping val="clustered"/>
        <c:varyColors val="1"/>
        <c:ser>
          <c:idx val="0"/>
          <c:order val="0"/>
          <c:tx>
            <c:strRef>
              <c:f>Sheet1!$B$1</c:f>
              <c:strCache>
                <c:ptCount val="1"/>
                <c:pt idx="0">
                  <c:v>No of Companies </c:v>
                </c:pt>
              </c:strCache>
            </c:strRef>
          </c:tx>
          <c:spPr>
            <a:solidFill>
              <a:srgbClr val="5B9BD5"/>
            </a:solidFill>
            <a:ln>
              <a:solidFill>
                <a:schemeClr val="bg1"/>
              </a:solidFill>
            </a:ln>
            <a:effectLst>
              <a:outerShdw blurRad="50800" dist="38100" dir="2700000" algn="tl" rotWithShape="0">
                <a:prstClr val="black">
                  <a:alpha val="40000"/>
                </a:prstClr>
              </a:outerShdw>
            </a:effectLst>
          </c:spPr>
          <c:invertIfNegative val="1"/>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Sheet1!$B$2:$B$12</c:f>
              <c:numCache>
                <c:formatCode>General</c:formatCode>
                <c:ptCount val="11"/>
                <c:pt idx="0">
                  <c:v>39</c:v>
                </c:pt>
                <c:pt idx="1">
                  <c:v>35</c:v>
                </c:pt>
                <c:pt idx="2">
                  <c:v>59</c:v>
                </c:pt>
                <c:pt idx="3">
                  <c:v>43</c:v>
                </c:pt>
                <c:pt idx="4">
                  <c:v>28</c:v>
                </c:pt>
                <c:pt idx="5">
                  <c:v>23</c:v>
                </c:pt>
                <c:pt idx="6">
                  <c:v>31</c:v>
                </c:pt>
                <c:pt idx="7">
                  <c:v>33</c:v>
                </c:pt>
                <c:pt idx="8">
                  <c:v>40</c:v>
                </c:pt>
                <c:pt idx="9">
                  <c:v>30</c:v>
                </c:pt>
                <c:pt idx="10">
                  <c:v>15</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bg1"/>
                    </a:solidFill>
                  </a:ln>
                  <a:effectLst>
                    <a:outerShdw blurRad="50800" dist="38100" dir="2700000" algn="tl" rotWithShape="0">
                      <a:prstClr val="black">
                        <a:alpha val="40000"/>
                      </a:prstClr>
                    </a:outerShdw>
                  </a:effectLst>
                </c14:spPr>
              </c14:invertSolidFillFmt>
            </c:ext>
            <c:ext xmlns:c16="http://schemas.microsoft.com/office/drawing/2014/chart" uri="{C3380CC4-5D6E-409C-BE32-E72D297353CC}">
              <c16:uniqueId val="{00000000-A7CA-44B6-9323-39BC420EE149}"/>
            </c:ext>
          </c:extLst>
        </c:ser>
        <c:dLbls>
          <c:showLegendKey val="0"/>
          <c:showVal val="0"/>
          <c:showCatName val="0"/>
          <c:showSerName val="0"/>
          <c:showPercent val="0"/>
          <c:showBubbleSize val="0"/>
        </c:dLbls>
        <c:gapWidth val="40"/>
        <c:axId val="215834624"/>
        <c:axId val="215836160"/>
      </c:barChart>
      <c:lineChart>
        <c:grouping val="standard"/>
        <c:varyColors val="1"/>
        <c:ser>
          <c:idx val="1"/>
          <c:order val="1"/>
          <c:tx>
            <c:strRef>
              <c:f>Sheet1!$C$1</c:f>
              <c:strCache>
                <c:ptCount val="1"/>
                <c:pt idx="0">
                  <c:v>% of Companies</c:v>
                </c:pt>
              </c:strCache>
            </c:strRef>
          </c:tx>
          <c:spPr>
            <a:ln>
              <a:solidFill>
                <a:srgbClr val="9E413E"/>
              </a:solidFill>
            </a:ln>
            <a:effectLst>
              <a:outerShdw blurRad="50800" dist="38100" dir="2700000" algn="tl" rotWithShape="0">
                <a:prstClr val="black">
                  <a:alpha val="40000"/>
                </a:prstClr>
              </a:outerShdw>
            </a:effectLst>
          </c:spPr>
          <c:marker>
            <c:symbol val="circle"/>
            <c:size val="5"/>
            <c:spPr>
              <a:solidFill>
                <a:srgbClr val="9E413E"/>
              </a:solidFill>
              <a:ln>
                <a:solidFill>
                  <a:srgbClr val="9E413E"/>
                </a:solidFill>
              </a:ln>
            </c:spPr>
          </c:marker>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Sheet1!$C$2:$C$12</c:f>
              <c:numCache>
                <c:formatCode>0.0%</c:formatCode>
                <c:ptCount val="11"/>
                <c:pt idx="0">
                  <c:v>3.0000000000000001E-3</c:v>
                </c:pt>
                <c:pt idx="1">
                  <c:v>3.0000000000000001E-3</c:v>
                </c:pt>
                <c:pt idx="2">
                  <c:v>4.0000000000000001E-3</c:v>
                </c:pt>
                <c:pt idx="3">
                  <c:v>3.0000000000000001E-3</c:v>
                </c:pt>
                <c:pt idx="4">
                  <c:v>2E-3</c:v>
                </c:pt>
                <c:pt idx="5">
                  <c:v>1E-3</c:v>
                </c:pt>
                <c:pt idx="6">
                  <c:v>2E-3</c:v>
                </c:pt>
                <c:pt idx="7">
                  <c:v>2E-3</c:v>
                </c:pt>
                <c:pt idx="8">
                  <c:v>2E-3</c:v>
                </c:pt>
                <c:pt idx="9">
                  <c:v>2E-3</c:v>
                </c:pt>
                <c:pt idx="10">
                  <c:v>2E-3</c:v>
                </c:pt>
              </c:numCache>
            </c:numRef>
          </c:val>
          <c:smooth val="1"/>
          <c:extLst>
            <c:ext xmlns:c16="http://schemas.microsoft.com/office/drawing/2014/chart" uri="{C3380CC4-5D6E-409C-BE32-E72D297353CC}">
              <c16:uniqueId val="{00000001-A7CA-44B6-9323-39BC420EE149}"/>
            </c:ext>
          </c:extLst>
        </c:ser>
        <c:dLbls>
          <c:showLegendKey val="0"/>
          <c:showVal val="0"/>
          <c:showCatName val="0"/>
          <c:showSerName val="0"/>
          <c:showPercent val="0"/>
          <c:showBubbleSize val="0"/>
        </c:dLbls>
        <c:marker val="1"/>
        <c:smooth val="0"/>
        <c:axId val="215859968"/>
        <c:axId val="215837696"/>
      </c:lineChart>
      <c:catAx>
        <c:axId val="215834624"/>
        <c:scaling>
          <c:orientation val="minMax"/>
        </c:scaling>
        <c:delete val="0"/>
        <c:axPos val="b"/>
        <c:numFmt formatCode="General" sourceLinked="1"/>
        <c:majorTickMark val="none"/>
        <c:minorTickMark val="none"/>
        <c:tickLblPos val="nextTo"/>
        <c:crossAx val="215836160"/>
        <c:crosses val="autoZero"/>
        <c:auto val="1"/>
        <c:lblAlgn val="ctr"/>
        <c:lblOffset val="100"/>
        <c:noMultiLvlLbl val="1"/>
      </c:catAx>
      <c:valAx>
        <c:axId val="215836160"/>
        <c:scaling>
          <c:orientation val="minMax"/>
        </c:scaling>
        <c:delete val="0"/>
        <c:axPos val="l"/>
        <c:majorGridlines/>
        <c:numFmt formatCode="General" sourceLinked="1"/>
        <c:majorTickMark val="none"/>
        <c:minorTickMark val="none"/>
        <c:tickLblPos val="none"/>
        <c:spPr>
          <a:noFill/>
          <a:ln>
            <a:noFill/>
          </a:ln>
        </c:spPr>
        <c:crossAx val="215834624"/>
        <c:crosses val="autoZero"/>
        <c:crossBetween val="between"/>
      </c:valAx>
      <c:valAx>
        <c:axId val="215837696"/>
        <c:scaling>
          <c:orientation val="minMax"/>
        </c:scaling>
        <c:delete val="0"/>
        <c:axPos val="r"/>
        <c:numFmt formatCode="0.0%" sourceLinked="1"/>
        <c:majorTickMark val="out"/>
        <c:minorTickMark val="none"/>
        <c:tickLblPos val="none"/>
        <c:spPr>
          <a:noFill/>
          <a:ln>
            <a:noFill/>
          </a:ln>
        </c:spPr>
        <c:crossAx val="215859968"/>
        <c:crosses val="max"/>
        <c:crossBetween val="between"/>
      </c:valAx>
      <c:catAx>
        <c:axId val="215859968"/>
        <c:scaling>
          <c:orientation val="minMax"/>
        </c:scaling>
        <c:delete val="1"/>
        <c:axPos val="b"/>
        <c:numFmt formatCode="General" sourceLinked="1"/>
        <c:majorTickMark val="out"/>
        <c:minorTickMark val="none"/>
        <c:tickLblPos val="nextTo"/>
        <c:crossAx val="215837696"/>
        <c:crosses val="autoZero"/>
        <c:auto val="1"/>
        <c:lblAlgn val="ctr"/>
        <c:lblOffset val="100"/>
        <c:noMultiLvlLbl val="0"/>
      </c:catAx>
    </c:plotArea>
    <c:legend>
      <c:legendPos val="b"/>
      <c:layout>
        <c:manualLayout>
          <c:xMode val="edge"/>
          <c:yMode val="edge"/>
          <c:x val="0.26839546508968543"/>
          <c:y val="0.90983873624050249"/>
          <c:w val="0.46320890645930668"/>
          <c:h val="9.0161263759497554E-2"/>
        </c:manualLayout>
      </c:layout>
      <c:overlay val="0"/>
    </c:legend>
    <c:plotVisOnly val="1"/>
    <c:dispBlanksAs val="gap"/>
    <c:showDLblsOverMax val="1"/>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76731301939059E-2"/>
          <c:y val="5.6529112492933863E-3"/>
          <c:w val="0.95124653739612186"/>
          <c:h val="0.8929930607176082"/>
        </c:manualLayout>
      </c:layout>
      <c:barChart>
        <c:barDir val="col"/>
        <c:grouping val="clustered"/>
        <c:varyColors val="1"/>
        <c:ser>
          <c:idx val="0"/>
          <c:order val="0"/>
          <c:tx>
            <c:strRef>
              <c:f>Sheet1!$B$1</c:f>
              <c:strCache>
                <c:ptCount val="1"/>
                <c:pt idx="0">
                  <c:v>No of Companies </c:v>
                </c:pt>
              </c:strCache>
            </c:strRef>
          </c:tx>
          <c:spPr>
            <a:solidFill>
              <a:srgbClr val="5B9BD5"/>
            </a:solidFill>
            <a:ln>
              <a:solidFill>
                <a:schemeClr val="bg1"/>
              </a:solidFill>
            </a:ln>
            <a:effectLst>
              <a:outerShdw blurRad="50800" dist="38100" dir="2700000" algn="tl" rotWithShape="0">
                <a:prstClr val="black">
                  <a:alpha val="40000"/>
                </a:prstClr>
              </a:outerShdw>
            </a:effectLst>
          </c:spPr>
          <c:invertIfNegative val="1"/>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2011</c:v>
                </c:pt>
                <c:pt idx="1">
                  <c:v>2012</c:v>
                </c:pt>
                <c:pt idx="2">
                  <c:v>2013</c:v>
                </c:pt>
                <c:pt idx="3">
                  <c:v>2015</c:v>
                </c:pt>
                <c:pt idx="4">
                  <c:v>2016</c:v>
                </c:pt>
                <c:pt idx="5">
                  <c:v>2017</c:v>
                </c:pt>
                <c:pt idx="6">
                  <c:v>2018</c:v>
                </c:pt>
                <c:pt idx="7">
                  <c:v>2019</c:v>
                </c:pt>
                <c:pt idx="8">
                  <c:v>2020</c:v>
                </c:pt>
                <c:pt idx="9">
                  <c:v>2021</c:v>
                </c:pt>
              </c:strCache>
            </c:strRef>
          </c:cat>
          <c:val>
            <c:numRef>
              <c:f>Sheet1!$B$2:$B$11</c:f>
              <c:numCache>
                <c:formatCode>General</c:formatCode>
                <c:ptCount val="10"/>
                <c:pt idx="0">
                  <c:v>4</c:v>
                </c:pt>
                <c:pt idx="1">
                  <c:v>4</c:v>
                </c:pt>
                <c:pt idx="2">
                  <c:v>3</c:v>
                </c:pt>
                <c:pt idx="3">
                  <c:v>1</c:v>
                </c:pt>
                <c:pt idx="4">
                  <c:v>1</c:v>
                </c:pt>
                <c:pt idx="5">
                  <c:v>1</c:v>
                </c:pt>
                <c:pt idx="6">
                  <c:v>4</c:v>
                </c:pt>
                <c:pt idx="7">
                  <c:v>5</c:v>
                </c:pt>
                <c:pt idx="8">
                  <c:v>2</c:v>
                </c:pt>
                <c:pt idx="9">
                  <c:v>1</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bg1"/>
                    </a:solidFill>
                  </a:ln>
                  <a:effectLst>
                    <a:outerShdw blurRad="50800" dist="38100" dir="2700000" algn="tl" rotWithShape="0">
                      <a:prstClr val="black">
                        <a:alpha val="40000"/>
                      </a:prstClr>
                    </a:outerShdw>
                  </a:effectLst>
                </c14:spPr>
              </c14:invertSolidFillFmt>
            </c:ext>
            <c:ext xmlns:c16="http://schemas.microsoft.com/office/drawing/2014/chart" uri="{C3380CC4-5D6E-409C-BE32-E72D297353CC}">
              <c16:uniqueId val="{00000000-0579-43A9-AB10-77A94989D20C}"/>
            </c:ext>
          </c:extLst>
        </c:ser>
        <c:dLbls>
          <c:showLegendKey val="0"/>
          <c:showVal val="0"/>
          <c:showCatName val="0"/>
          <c:showSerName val="0"/>
          <c:showPercent val="0"/>
          <c:showBubbleSize val="0"/>
        </c:dLbls>
        <c:gapWidth val="40"/>
        <c:axId val="215834624"/>
        <c:axId val="215836160"/>
      </c:barChart>
      <c:catAx>
        <c:axId val="215834624"/>
        <c:scaling>
          <c:orientation val="minMax"/>
        </c:scaling>
        <c:delete val="0"/>
        <c:axPos val="b"/>
        <c:numFmt formatCode="General" sourceLinked="1"/>
        <c:majorTickMark val="none"/>
        <c:minorTickMark val="none"/>
        <c:tickLblPos val="nextTo"/>
        <c:crossAx val="215836160"/>
        <c:crosses val="autoZero"/>
        <c:auto val="1"/>
        <c:lblAlgn val="ctr"/>
        <c:lblOffset val="100"/>
        <c:noMultiLvlLbl val="1"/>
      </c:catAx>
      <c:valAx>
        <c:axId val="215836160"/>
        <c:scaling>
          <c:orientation val="minMax"/>
        </c:scaling>
        <c:delete val="0"/>
        <c:axPos val="l"/>
        <c:majorGridlines/>
        <c:numFmt formatCode="General" sourceLinked="1"/>
        <c:majorTickMark val="none"/>
        <c:minorTickMark val="none"/>
        <c:tickLblPos val="none"/>
        <c:spPr>
          <a:noFill/>
          <a:ln>
            <a:noFill/>
          </a:ln>
        </c:spPr>
        <c:crossAx val="215834624"/>
        <c:crosses val="autoZero"/>
        <c:crossBetween val="between"/>
      </c:valAx>
    </c:plotArea>
    <c:plotVisOnly val="1"/>
    <c:dispBlanksAs val="gap"/>
    <c:showDLblsOverMax val="1"/>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'top export parnters.xls'!$A$2:$A$11</cx:f>
        <cx:lvl ptCount="10">
          <cx:pt idx="0">China</cx:pt>
          <cx:pt idx="1">Switzerland</cx:pt>
          <cx:pt idx="2">India</cx:pt>
          <cx:pt idx="3">South Africa</cx:pt>
          <cx:pt idx="4">Netherlands</cx:pt>
          <cx:pt idx="5">United Arab Emirates</cx:pt>
          <cx:pt idx="6">United States of America</cx:pt>
          <cx:pt idx="7">United Kingdom</cx:pt>
          <cx:pt idx="8">France</cx:pt>
          <cx:pt idx="9">Italy</cx:pt>
        </cx:lvl>
      </cx:strDim>
      <cx:numDim type="size">
        <cx:f>'top export parnters.xls'!$B$2:$B$11</cx:f>
        <cx:lvl ptCount="10" formatCode="_-[$$-en-US]* # ##0.00_ ;_-[$$-en-US]* \-# ##0.00\ ;_-[$$-en-US]* &quot;-&quot;??_ ;_-@_ ">
          <cx:pt idx="0">2808.5999999999999</cx:pt>
          <cx:pt idx="1">2465.9200000000001</cx:pt>
          <cx:pt idx="2">2380.1300000000001</cx:pt>
          <cx:pt idx="3">1971</cx:pt>
          <cx:pt idx="4">966.30999999999995</cx:pt>
          <cx:pt idx="5">899.15999999999997</cx:pt>
          <cx:pt idx="6">704.27999999999997</cx:pt>
          <cx:pt idx="7">415.12</cx:pt>
          <cx:pt idx="8">377.02999999999997</cx:pt>
          <cx:pt idx="9">308.76999999999998</cx:pt>
        </cx:lvl>
      </cx:numDim>
    </cx:data>
  </cx:chartData>
  <cx:chart>
    <cx:plotArea>
      <cx:plotAreaRegion>
        <cx:series layoutId="treemap" uniqueId="{61A1E5F9-F922-4084-8D55-3C740CE92606}">
          <cx:tx>
            <cx:txData>
              <cx:f>'top export parnters.xls'!$B$1</cx:f>
              <cx:v/>
            </cx:txData>
          </cx:tx>
          <cx:dataLabels pos="ctr">
            <cx:txPr>
              <a:bodyPr spcFirstLastPara="1" vertOverflow="ellipsis" wrap="square" lIns="0" tIns="0" rIns="0" bIns="0" anchor="ctr" anchorCtr="1">
                <a:spAutoFit/>
              </a:bodyPr>
              <a:lstStyle/>
              <a:p>
                <a:pPr>
                  <a:defRPr sz="800">
                    <a:latin typeface="Helvetica" panose="020B0604020202020204" pitchFamily="34" charset="0"/>
                    <a:ea typeface="Helvetica" panose="020B0604020202020204" pitchFamily="34" charset="0"/>
                    <a:cs typeface="Helvetica" panose="020B0604020202020204" pitchFamily="34" charset="0"/>
                  </a:defRPr>
                </a:pPr>
                <a:endParaRPr lang="en-US" sz="800">
                  <a:latin typeface="Helvetica" panose="020B0604020202020204" pitchFamily="34" charset="0"/>
                  <a:cs typeface="Helvetica" panose="020B0604020202020204" pitchFamily="34" charset="0"/>
                </a:endParaRPr>
              </a:p>
            </cx:txPr>
            <cx:visibility seriesName="0" categoryName="1" value="1"/>
          </cx:dataLabels>
          <cx:dataId val="0"/>
          <cx:layoutPr/>
        </cx:series>
      </cx:plotAreaRegion>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'top import partners.xls'!$A$2:$A$11</cx:f>
        <cx:lvl ptCount="10">
          <cx:pt idx="0">China</cx:pt>
          <cx:pt idx="1">United States of America</cx:pt>
          <cx:pt idx="2">United Kingdom</cx:pt>
          <cx:pt idx="3">India</cx:pt>
          <cx:pt idx="4">Belgium</cx:pt>
          <cx:pt idx="5">Turkey</cx:pt>
          <cx:pt idx="6">South Africa</cx:pt>
          <cx:pt idx="7">Viet Nam</cx:pt>
          <cx:pt idx="8">United Arab Emirates</cx:pt>
          <cx:pt idx="9">Canada</cx:pt>
        </cx:lvl>
      </cx:strDim>
      <cx:numDim type="size">
        <cx:f>'top import partners.xls'!$B$2:$B$11</cx:f>
        <cx:lvl ptCount="10" formatCode="_-[$$-en-US]* # ##0.00_ ;_-[$$-en-US]* \-# ##0.00\ ;_-[$$-en-US]* &quot;-&quot;??_ ;_-@_ ">
          <cx:pt idx="0">1895.9100000000001</cx:pt>
          <cx:pt idx="1">976.22000000000003</cx:pt>
          <cx:pt idx="2">685.54999999999995</cx:pt>
          <cx:pt idx="3">582.20000000000005</cx:pt>
          <cx:pt idx="4">532.88999999999999</cx:pt>
          <cx:pt idx="5">466.79000000000002</cx:pt>
          <cx:pt idx="6">357.61000000000001</cx:pt>
          <cx:pt idx="7">316.54000000000002</cx:pt>
          <cx:pt idx="8">275.83999999999997</cx:pt>
          <cx:pt idx="9">266.48000000000002</cx:pt>
        </cx:lvl>
      </cx:numDim>
    </cx:data>
  </cx:chartData>
  <cx:chart>
    <cx:plotArea>
      <cx:plotAreaRegion>
        <cx:series layoutId="treemap" uniqueId="{C823A497-587B-4F13-8C0C-897B9C9F869E}">
          <cx:tx>
            <cx:txData>
              <cx:f>'top import partners.xls'!$B$1</cx:f>
              <cx:v/>
            </cx:txData>
          </cx:tx>
          <cx:dataLabels pos="ctr">
            <cx:txPr>
              <a:bodyPr spcFirstLastPara="1" vertOverflow="ellipsis" wrap="square" lIns="0" tIns="0" rIns="0" bIns="0" anchor="ctr" anchorCtr="1">
                <a:spAutoFit/>
              </a:bodyPr>
              <a:lstStyle/>
              <a:p>
                <a:pPr>
                  <a:defRPr sz="800">
                    <a:latin typeface="Helvetica" panose="020B0604020202020204" pitchFamily="34" charset="0"/>
                    <a:ea typeface="Helvetica" panose="020B0604020202020204" pitchFamily="34" charset="0"/>
                    <a:cs typeface="Helvetica" panose="020B0604020202020204" pitchFamily="34" charset="0"/>
                  </a:defRPr>
                </a:pPr>
                <a:endParaRPr lang="en-US" sz="800">
                  <a:latin typeface="Helvetica" panose="020B0604020202020204" pitchFamily="34" charset="0"/>
                  <a:cs typeface="Helvetica" panose="020B0604020202020204" pitchFamily="34" charset="0"/>
                </a:endParaRPr>
              </a:p>
            </cx:txPr>
            <cx:visibility seriesName="0" categoryName="1" value="1"/>
          </cx:dataLabels>
          <cx:dataId val="0"/>
          <cx:layoutPr/>
        </cx:series>
      </cx:plotAreaRegion>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511C2D-576B-4953-B792-90FF28FE086D}" type="doc">
      <dgm:prSet loTypeId="urn:microsoft.com/office/officeart/2008/layout/AlternatingHexagons" loCatId="list" qsTypeId="urn:microsoft.com/office/officeart/2005/8/quickstyle/3d2" qsCatId="3D" csTypeId="urn:microsoft.com/office/officeart/2005/8/colors/colorful1#1" csCatId="colorful" phldr="1"/>
      <dgm:spPr/>
      <dgm:t>
        <a:bodyPr/>
        <a:lstStyle/>
        <a:p>
          <a:endParaRPr lang="en-ZA"/>
        </a:p>
      </dgm:t>
    </dgm:pt>
    <dgm:pt modelId="{7EA37917-A560-4C6C-AC53-CD9F00DDF12D}">
      <dgm:prSet phldrT="[Text]" custT="1"/>
      <dgm:spPr/>
      <dgm:t>
        <a:bodyPr/>
        <a:lstStyle/>
        <a:p>
          <a:pPr algn="ctr"/>
          <a:r>
            <a:rPr lang="en-ZA" sz="1000">
              <a:solidFill>
                <a:schemeClr val="bg1"/>
              </a:solidFill>
              <a:latin typeface="Helvetica" panose="020B0604020202020204" pitchFamily="34" charset="0"/>
              <a:cs typeface="Helvetica" panose="020B0604020202020204" pitchFamily="34" charset="0"/>
            </a:rPr>
            <a:t>26th largest global exporter of natural and cultured pearls and precious metals</a:t>
          </a:r>
        </a:p>
      </dgm:t>
    </dgm:pt>
    <dgm:pt modelId="{8104A696-7156-47CB-8121-8C29D57ED723}" type="parTrans" cxnId="{1BCDFAD2-E1FD-43D0-AC43-612A3C3522D7}">
      <dgm:prSet/>
      <dgm:spPr/>
      <dgm:t>
        <a:bodyPr/>
        <a:lstStyle/>
        <a:p>
          <a:pPr algn="ctr"/>
          <a:endParaRPr lang="en-ZA" sz="800">
            <a:solidFill>
              <a:schemeClr val="bg1"/>
            </a:solidFill>
            <a:latin typeface="Helvetica" panose="020B0604020202020204" pitchFamily="34" charset="0"/>
            <a:cs typeface="Helvetica" panose="020B0604020202020204" pitchFamily="34" charset="0"/>
          </a:endParaRPr>
        </a:p>
      </dgm:t>
    </dgm:pt>
    <dgm:pt modelId="{984BC567-1681-4DB1-B8B9-851B205E1817}" type="sibTrans" cxnId="{1BCDFAD2-E1FD-43D0-AC43-612A3C3522D7}">
      <dgm:prSet custT="1"/>
      <dgm:spPr/>
      <dgm:t>
        <a:bodyPr/>
        <a:lstStyle/>
        <a:p>
          <a:pPr algn="ctr"/>
          <a:r>
            <a:rPr lang="en-ZA" sz="1000">
              <a:solidFill>
                <a:schemeClr val="bg1"/>
              </a:solidFill>
              <a:latin typeface="Helvetica" panose="020B0604020202020204" pitchFamily="34" charset="0"/>
              <a:cs typeface="Helvetica" panose="020B0604020202020204" pitchFamily="34" charset="0"/>
            </a:rPr>
            <a:t>Sixth largest global exporter of cocoa and cocoa preperations</a:t>
          </a:r>
        </a:p>
      </dgm:t>
    </dgm:pt>
    <dgm:pt modelId="{D3FF4BF6-F8A7-4891-8AC2-C2ED1D053390}">
      <dgm:prSet phldrT="[Text]" custT="1"/>
      <dgm:spPr/>
      <dgm:t>
        <a:bodyPr/>
        <a:lstStyle/>
        <a:p>
          <a:pPr algn="ctr"/>
          <a:r>
            <a:rPr lang="en-ZA" sz="800" b="0" i="0">
              <a:solidFill>
                <a:sysClr val="windowText" lastClr="000000"/>
              </a:solidFill>
              <a:latin typeface="Helvetica" panose="020B0604020202020204" pitchFamily="34" charset="0"/>
              <a:cs typeface="Helvetica" panose="020B0604020202020204" pitchFamily="34" charset="0"/>
            </a:rPr>
            <a:t>Ghana's exports represent 0.1</a:t>
          </a:r>
          <a:r>
            <a:rPr lang="en-ZA" sz="800" b="1" i="0">
              <a:solidFill>
                <a:sysClr val="windowText" lastClr="000000"/>
              </a:solidFill>
              <a:latin typeface="Helvetica" panose="020B0604020202020204" pitchFamily="34" charset="0"/>
              <a:cs typeface="Helvetica" panose="020B0604020202020204" pitchFamily="34" charset="0"/>
            </a:rPr>
            <a:t>%</a:t>
          </a:r>
          <a:r>
            <a:rPr lang="en-ZA" sz="800" b="0" i="0">
              <a:solidFill>
                <a:sysClr val="windowText" lastClr="000000"/>
              </a:solidFill>
              <a:latin typeface="Helvetica" panose="020B0604020202020204" pitchFamily="34" charset="0"/>
              <a:cs typeface="Helvetica" panose="020B0604020202020204" pitchFamily="34" charset="0"/>
            </a:rPr>
            <a:t> of world exports and it is ranked 81st in global exports </a:t>
          </a:r>
          <a:endParaRPr lang="en-ZA" sz="800">
            <a:solidFill>
              <a:sysClr val="windowText" lastClr="000000"/>
            </a:solidFill>
            <a:latin typeface="Helvetica" panose="020B0604020202020204" pitchFamily="34" charset="0"/>
            <a:cs typeface="Helvetica" panose="020B0604020202020204" pitchFamily="34" charset="0"/>
          </a:endParaRPr>
        </a:p>
      </dgm:t>
    </dgm:pt>
    <dgm:pt modelId="{E8C06AF5-D52C-44D7-908F-F5EC0F04FAF4}" type="parTrans" cxnId="{911699EA-9DA5-42AF-9C1A-0E195716987A}">
      <dgm:prSet/>
      <dgm:spPr/>
      <dgm:t>
        <a:bodyPr/>
        <a:lstStyle/>
        <a:p>
          <a:pPr algn="ctr"/>
          <a:endParaRPr lang="en-ZA" sz="800">
            <a:solidFill>
              <a:schemeClr val="bg1"/>
            </a:solidFill>
            <a:latin typeface="Helvetica" panose="020B0604020202020204" pitchFamily="34" charset="0"/>
            <a:cs typeface="Helvetica" panose="020B0604020202020204" pitchFamily="34" charset="0"/>
          </a:endParaRPr>
        </a:p>
      </dgm:t>
    </dgm:pt>
    <dgm:pt modelId="{8BA07A23-4DF1-4C3C-BFF9-40655353E57C}" type="sibTrans" cxnId="{911699EA-9DA5-42AF-9C1A-0E195716987A}">
      <dgm:prSet/>
      <dgm:spPr/>
      <dgm:t>
        <a:bodyPr/>
        <a:lstStyle/>
        <a:p>
          <a:pPr algn="ctr"/>
          <a:endParaRPr lang="en-ZA" sz="800">
            <a:solidFill>
              <a:schemeClr val="bg1"/>
            </a:solidFill>
            <a:latin typeface="Helvetica" panose="020B0604020202020204" pitchFamily="34" charset="0"/>
            <a:cs typeface="Helvetica" panose="020B0604020202020204" pitchFamily="34" charset="0"/>
          </a:endParaRPr>
        </a:p>
      </dgm:t>
    </dgm:pt>
    <dgm:pt modelId="{5652979A-BBC6-430C-A791-6293800F5124}">
      <dgm:prSet phldrT="[Text]" custT="1"/>
      <dgm:spPr/>
      <dgm:t>
        <a:bodyPr/>
        <a:lstStyle/>
        <a:p>
          <a:pPr algn="ctr"/>
          <a:r>
            <a:rPr lang="en-ZA" sz="1000">
              <a:solidFill>
                <a:schemeClr val="bg1"/>
              </a:solidFill>
              <a:latin typeface="Helvetica" panose="020B0604020202020204" pitchFamily="34" charset="0"/>
              <a:cs typeface="Helvetica" panose="020B0604020202020204" pitchFamily="34" charset="0"/>
            </a:rPr>
            <a:t>10th largest importer of feathers and down.</a:t>
          </a:r>
        </a:p>
      </dgm:t>
    </dgm:pt>
    <dgm:pt modelId="{13B0BF72-A7E3-4A27-808E-6629CC27605D}" type="parTrans" cxnId="{CAA989DC-AB2B-4AAF-BCB1-02FF326A6791}">
      <dgm:prSet/>
      <dgm:spPr/>
      <dgm:t>
        <a:bodyPr/>
        <a:lstStyle/>
        <a:p>
          <a:pPr algn="ctr"/>
          <a:endParaRPr lang="en-ZA" sz="800">
            <a:solidFill>
              <a:schemeClr val="bg1"/>
            </a:solidFill>
            <a:latin typeface="Helvetica" panose="020B0604020202020204" pitchFamily="34" charset="0"/>
            <a:cs typeface="Helvetica" panose="020B0604020202020204" pitchFamily="34" charset="0"/>
          </a:endParaRPr>
        </a:p>
      </dgm:t>
    </dgm:pt>
    <dgm:pt modelId="{52C912CB-7B32-4F5D-BCDF-080F8A43A378}" type="sibTrans" cxnId="{CAA989DC-AB2B-4AAF-BCB1-02FF326A6791}">
      <dgm:prSet custT="1"/>
      <dgm:spPr/>
      <dgm:t>
        <a:bodyPr/>
        <a:lstStyle/>
        <a:p>
          <a:pPr algn="ctr"/>
          <a:r>
            <a:rPr lang="en-ZA" sz="1000">
              <a:solidFill>
                <a:schemeClr val="bg1"/>
              </a:solidFill>
              <a:latin typeface="Helvetica" panose="020B0604020202020204" pitchFamily="34" charset="0"/>
              <a:cs typeface="Helvetica" panose="020B0604020202020204" pitchFamily="34" charset="0"/>
            </a:rPr>
            <a:t>33rd largest global importer of explosives and pyrotechnic products.</a:t>
          </a:r>
        </a:p>
      </dgm:t>
    </dgm:pt>
    <dgm:pt modelId="{ABA4AA24-D781-4983-8D1E-B051A52FA7CC}">
      <dgm:prSet phldrT="[Text]" custT="1"/>
      <dgm:spPr/>
      <dgm:t>
        <a:bodyPr/>
        <a:lstStyle/>
        <a:p>
          <a:pPr algn="ctr"/>
          <a:r>
            <a:rPr lang="en-ZA" sz="800">
              <a:solidFill>
                <a:sysClr val="windowText" lastClr="000000"/>
              </a:solidFill>
              <a:latin typeface="Helvetica" panose="020B0604020202020204" pitchFamily="34" charset="0"/>
              <a:cs typeface="Helvetica" panose="020B0604020202020204" pitchFamily="34" charset="0"/>
            </a:rPr>
            <a:t>Ghana accounts for 0.1% of global imports, ranking it the 82nd largest global importer</a:t>
          </a:r>
          <a:br>
            <a:rPr lang="en-ZA" sz="800">
              <a:solidFill>
                <a:sysClr val="windowText" lastClr="000000"/>
              </a:solidFill>
              <a:latin typeface="Helvetica" panose="020B0604020202020204" pitchFamily="34" charset="0"/>
              <a:cs typeface="Helvetica" panose="020B0604020202020204" pitchFamily="34" charset="0"/>
            </a:rPr>
          </a:br>
          <a:endParaRPr lang="en-ZA" sz="800">
            <a:solidFill>
              <a:sysClr val="windowText" lastClr="000000"/>
            </a:solidFill>
            <a:latin typeface="Helvetica" panose="020B0604020202020204" pitchFamily="34" charset="0"/>
            <a:cs typeface="Helvetica" panose="020B0604020202020204" pitchFamily="34" charset="0"/>
          </a:endParaRPr>
        </a:p>
      </dgm:t>
    </dgm:pt>
    <dgm:pt modelId="{C877AEA1-F00D-4D21-9D57-B087EE528FC7}" type="parTrans" cxnId="{DBC0F60B-FAD5-4534-B426-36321CFE8533}">
      <dgm:prSet/>
      <dgm:spPr/>
      <dgm:t>
        <a:bodyPr/>
        <a:lstStyle/>
        <a:p>
          <a:pPr algn="ctr"/>
          <a:endParaRPr lang="en-ZA" sz="800">
            <a:solidFill>
              <a:schemeClr val="bg1"/>
            </a:solidFill>
            <a:latin typeface="Helvetica" panose="020B0604020202020204" pitchFamily="34" charset="0"/>
            <a:cs typeface="Helvetica" panose="020B0604020202020204" pitchFamily="34" charset="0"/>
          </a:endParaRPr>
        </a:p>
      </dgm:t>
    </dgm:pt>
    <dgm:pt modelId="{CD2BBC3D-A897-4443-9D01-4321AFAE2B95}" type="sibTrans" cxnId="{DBC0F60B-FAD5-4534-B426-36321CFE8533}">
      <dgm:prSet/>
      <dgm:spPr/>
      <dgm:t>
        <a:bodyPr/>
        <a:lstStyle/>
        <a:p>
          <a:pPr algn="ctr"/>
          <a:endParaRPr lang="en-ZA" sz="800">
            <a:solidFill>
              <a:schemeClr val="bg1"/>
            </a:solidFill>
            <a:latin typeface="Helvetica" panose="020B0604020202020204" pitchFamily="34" charset="0"/>
            <a:cs typeface="Helvetica" panose="020B0604020202020204" pitchFamily="34" charset="0"/>
          </a:endParaRPr>
        </a:p>
      </dgm:t>
    </dgm:pt>
    <dgm:pt modelId="{9A761B1F-0C7A-43D3-82A2-E3760EF527E0}" type="pres">
      <dgm:prSet presAssocID="{C6511C2D-576B-4953-B792-90FF28FE086D}" presName="Name0" presStyleCnt="0">
        <dgm:presLayoutVars>
          <dgm:chMax/>
          <dgm:chPref/>
          <dgm:dir/>
          <dgm:animLvl val="lvl"/>
        </dgm:presLayoutVars>
      </dgm:prSet>
      <dgm:spPr/>
      <dgm:t>
        <a:bodyPr/>
        <a:lstStyle/>
        <a:p>
          <a:endParaRPr lang="en-US"/>
        </a:p>
      </dgm:t>
    </dgm:pt>
    <dgm:pt modelId="{4C1030C1-F351-4742-AD54-C7FC28647D9F}" type="pres">
      <dgm:prSet presAssocID="{7EA37917-A560-4C6C-AC53-CD9F00DDF12D}" presName="composite" presStyleCnt="0"/>
      <dgm:spPr/>
    </dgm:pt>
    <dgm:pt modelId="{E595DC30-4EFB-4A88-BFCD-E56C37FD8BF0}" type="pres">
      <dgm:prSet presAssocID="{7EA37917-A560-4C6C-AC53-CD9F00DDF12D}" presName="Parent1" presStyleLbl="node1" presStyleIdx="0" presStyleCnt="4">
        <dgm:presLayoutVars>
          <dgm:chMax val="1"/>
          <dgm:chPref val="1"/>
          <dgm:bulletEnabled val="1"/>
        </dgm:presLayoutVars>
      </dgm:prSet>
      <dgm:spPr/>
      <dgm:t>
        <a:bodyPr/>
        <a:lstStyle/>
        <a:p>
          <a:endParaRPr lang="en-US"/>
        </a:p>
      </dgm:t>
    </dgm:pt>
    <dgm:pt modelId="{2D54F8CB-E164-4798-82EB-4D290E4CE804}" type="pres">
      <dgm:prSet presAssocID="{7EA37917-A560-4C6C-AC53-CD9F00DDF12D}" presName="Childtext1" presStyleLbl="revTx" presStyleIdx="0" presStyleCnt="2">
        <dgm:presLayoutVars>
          <dgm:chMax val="0"/>
          <dgm:chPref val="0"/>
          <dgm:bulletEnabled val="1"/>
        </dgm:presLayoutVars>
      </dgm:prSet>
      <dgm:spPr/>
      <dgm:t>
        <a:bodyPr/>
        <a:lstStyle/>
        <a:p>
          <a:endParaRPr lang="en-US"/>
        </a:p>
      </dgm:t>
    </dgm:pt>
    <dgm:pt modelId="{3EB54D44-CAA1-4A9B-8082-CC36C551BE75}" type="pres">
      <dgm:prSet presAssocID="{7EA37917-A560-4C6C-AC53-CD9F00DDF12D}" presName="BalanceSpacing" presStyleCnt="0"/>
      <dgm:spPr/>
    </dgm:pt>
    <dgm:pt modelId="{66FC2FD7-3248-4E9B-AC60-88E53E67414A}" type="pres">
      <dgm:prSet presAssocID="{7EA37917-A560-4C6C-AC53-CD9F00DDF12D}" presName="BalanceSpacing1" presStyleCnt="0"/>
      <dgm:spPr/>
    </dgm:pt>
    <dgm:pt modelId="{575101D9-C1F7-4842-981F-95076916A8FA}" type="pres">
      <dgm:prSet presAssocID="{984BC567-1681-4DB1-B8B9-851B205E1817}" presName="Accent1Text" presStyleLbl="node1" presStyleIdx="1" presStyleCnt="4"/>
      <dgm:spPr/>
      <dgm:t>
        <a:bodyPr/>
        <a:lstStyle/>
        <a:p>
          <a:endParaRPr lang="en-US"/>
        </a:p>
      </dgm:t>
    </dgm:pt>
    <dgm:pt modelId="{DB0CF91F-B617-4290-8D69-951DFD3FF159}" type="pres">
      <dgm:prSet presAssocID="{984BC567-1681-4DB1-B8B9-851B205E1817}" presName="spaceBetweenRectangles" presStyleCnt="0"/>
      <dgm:spPr/>
    </dgm:pt>
    <dgm:pt modelId="{CE164D12-DA98-422C-915C-8598F57DE7C2}" type="pres">
      <dgm:prSet presAssocID="{5652979A-BBC6-430C-A791-6293800F5124}" presName="composite" presStyleCnt="0"/>
      <dgm:spPr/>
    </dgm:pt>
    <dgm:pt modelId="{8BACA95F-AC8B-40FD-A2B4-A79D5DBFC101}" type="pres">
      <dgm:prSet presAssocID="{5652979A-BBC6-430C-A791-6293800F5124}" presName="Parent1" presStyleLbl="node1" presStyleIdx="2" presStyleCnt="4">
        <dgm:presLayoutVars>
          <dgm:chMax val="1"/>
          <dgm:chPref val="1"/>
          <dgm:bulletEnabled val="1"/>
        </dgm:presLayoutVars>
      </dgm:prSet>
      <dgm:spPr/>
      <dgm:t>
        <a:bodyPr/>
        <a:lstStyle/>
        <a:p>
          <a:endParaRPr lang="en-US"/>
        </a:p>
      </dgm:t>
    </dgm:pt>
    <dgm:pt modelId="{0DFE5646-DA28-4ACE-B8F5-1C4CF4C6A01C}" type="pres">
      <dgm:prSet presAssocID="{5652979A-BBC6-430C-A791-6293800F5124}" presName="Childtext1" presStyleLbl="revTx" presStyleIdx="1" presStyleCnt="2">
        <dgm:presLayoutVars>
          <dgm:chMax val="0"/>
          <dgm:chPref val="0"/>
          <dgm:bulletEnabled val="1"/>
        </dgm:presLayoutVars>
      </dgm:prSet>
      <dgm:spPr/>
      <dgm:t>
        <a:bodyPr/>
        <a:lstStyle/>
        <a:p>
          <a:endParaRPr lang="en-US"/>
        </a:p>
      </dgm:t>
    </dgm:pt>
    <dgm:pt modelId="{6A2CA265-23FF-410D-A2EB-6D2469FC9B29}" type="pres">
      <dgm:prSet presAssocID="{5652979A-BBC6-430C-A791-6293800F5124}" presName="BalanceSpacing" presStyleCnt="0"/>
      <dgm:spPr/>
    </dgm:pt>
    <dgm:pt modelId="{7D971841-7AF1-4460-9B07-19984B2749E0}" type="pres">
      <dgm:prSet presAssocID="{5652979A-BBC6-430C-A791-6293800F5124}" presName="BalanceSpacing1" presStyleCnt="0"/>
      <dgm:spPr/>
    </dgm:pt>
    <dgm:pt modelId="{A6643F7C-050C-4D3B-8E2D-A21FCC6548C5}" type="pres">
      <dgm:prSet presAssocID="{52C912CB-7B32-4F5D-BCDF-080F8A43A378}" presName="Accent1Text" presStyleLbl="node1" presStyleIdx="3" presStyleCnt="4"/>
      <dgm:spPr/>
      <dgm:t>
        <a:bodyPr/>
        <a:lstStyle/>
        <a:p>
          <a:endParaRPr lang="en-US"/>
        </a:p>
      </dgm:t>
    </dgm:pt>
  </dgm:ptLst>
  <dgm:cxnLst>
    <dgm:cxn modelId="{5B9C1F27-5BBC-430A-8A92-5AD38E220B61}" type="presOf" srcId="{52C912CB-7B32-4F5D-BCDF-080F8A43A378}" destId="{A6643F7C-050C-4D3B-8E2D-A21FCC6548C5}" srcOrd="0" destOrd="0" presId="urn:microsoft.com/office/officeart/2008/layout/AlternatingHexagons"/>
    <dgm:cxn modelId="{D03EA31B-B791-4C1B-8B7A-67DC19B967DC}" type="presOf" srcId="{5652979A-BBC6-430C-A791-6293800F5124}" destId="{8BACA95F-AC8B-40FD-A2B4-A79D5DBFC101}" srcOrd="0" destOrd="0" presId="urn:microsoft.com/office/officeart/2008/layout/AlternatingHexagons"/>
    <dgm:cxn modelId="{41EA5771-E97B-4616-823C-8CBB9A54D9BA}" type="presOf" srcId="{D3FF4BF6-F8A7-4891-8AC2-C2ED1D053390}" destId="{2D54F8CB-E164-4798-82EB-4D290E4CE804}" srcOrd="0" destOrd="0" presId="urn:microsoft.com/office/officeart/2008/layout/AlternatingHexagons"/>
    <dgm:cxn modelId="{1BCDFAD2-E1FD-43D0-AC43-612A3C3522D7}" srcId="{C6511C2D-576B-4953-B792-90FF28FE086D}" destId="{7EA37917-A560-4C6C-AC53-CD9F00DDF12D}" srcOrd="0" destOrd="0" parTransId="{8104A696-7156-47CB-8121-8C29D57ED723}" sibTransId="{984BC567-1681-4DB1-B8B9-851B205E1817}"/>
    <dgm:cxn modelId="{1198EF17-536E-4D24-809B-2769F3D956DB}" type="presOf" srcId="{7EA37917-A560-4C6C-AC53-CD9F00DDF12D}" destId="{E595DC30-4EFB-4A88-BFCD-E56C37FD8BF0}" srcOrd="0" destOrd="0" presId="urn:microsoft.com/office/officeart/2008/layout/AlternatingHexagons"/>
    <dgm:cxn modelId="{911699EA-9DA5-42AF-9C1A-0E195716987A}" srcId="{7EA37917-A560-4C6C-AC53-CD9F00DDF12D}" destId="{D3FF4BF6-F8A7-4891-8AC2-C2ED1D053390}" srcOrd="0" destOrd="0" parTransId="{E8C06AF5-D52C-44D7-908F-F5EC0F04FAF4}" sibTransId="{8BA07A23-4DF1-4C3C-BFF9-40655353E57C}"/>
    <dgm:cxn modelId="{DB7829D7-41EC-4DEA-9533-121C85225886}" type="presOf" srcId="{ABA4AA24-D781-4983-8D1E-B051A52FA7CC}" destId="{0DFE5646-DA28-4ACE-B8F5-1C4CF4C6A01C}" srcOrd="0" destOrd="0" presId="urn:microsoft.com/office/officeart/2008/layout/AlternatingHexagons"/>
    <dgm:cxn modelId="{00AF0146-DD66-4E9E-9718-63AC2EE5C58E}" type="presOf" srcId="{C6511C2D-576B-4953-B792-90FF28FE086D}" destId="{9A761B1F-0C7A-43D3-82A2-E3760EF527E0}" srcOrd="0" destOrd="0" presId="urn:microsoft.com/office/officeart/2008/layout/AlternatingHexagons"/>
    <dgm:cxn modelId="{CAA989DC-AB2B-4AAF-BCB1-02FF326A6791}" srcId="{C6511C2D-576B-4953-B792-90FF28FE086D}" destId="{5652979A-BBC6-430C-A791-6293800F5124}" srcOrd="1" destOrd="0" parTransId="{13B0BF72-A7E3-4A27-808E-6629CC27605D}" sibTransId="{52C912CB-7B32-4F5D-BCDF-080F8A43A378}"/>
    <dgm:cxn modelId="{DBC0F60B-FAD5-4534-B426-36321CFE8533}" srcId="{5652979A-BBC6-430C-A791-6293800F5124}" destId="{ABA4AA24-D781-4983-8D1E-B051A52FA7CC}" srcOrd="0" destOrd="0" parTransId="{C877AEA1-F00D-4D21-9D57-B087EE528FC7}" sibTransId="{CD2BBC3D-A897-4443-9D01-4321AFAE2B95}"/>
    <dgm:cxn modelId="{A15AC2EF-D14E-4FEE-B1BF-7CB3CC3674F5}" type="presOf" srcId="{984BC567-1681-4DB1-B8B9-851B205E1817}" destId="{575101D9-C1F7-4842-981F-95076916A8FA}" srcOrd="0" destOrd="0" presId="urn:microsoft.com/office/officeart/2008/layout/AlternatingHexagons"/>
    <dgm:cxn modelId="{4B145ED3-3800-4733-8AA1-828458FD3FC2}" type="presParOf" srcId="{9A761B1F-0C7A-43D3-82A2-E3760EF527E0}" destId="{4C1030C1-F351-4742-AD54-C7FC28647D9F}" srcOrd="0" destOrd="0" presId="urn:microsoft.com/office/officeart/2008/layout/AlternatingHexagons"/>
    <dgm:cxn modelId="{4929AA25-306E-4A7F-9279-CA086BA9C319}" type="presParOf" srcId="{4C1030C1-F351-4742-AD54-C7FC28647D9F}" destId="{E595DC30-4EFB-4A88-BFCD-E56C37FD8BF0}" srcOrd="0" destOrd="0" presId="urn:microsoft.com/office/officeart/2008/layout/AlternatingHexagons"/>
    <dgm:cxn modelId="{EF2CA4DD-E159-45F3-B652-5C2194F8376B}" type="presParOf" srcId="{4C1030C1-F351-4742-AD54-C7FC28647D9F}" destId="{2D54F8CB-E164-4798-82EB-4D290E4CE804}" srcOrd="1" destOrd="0" presId="urn:microsoft.com/office/officeart/2008/layout/AlternatingHexagons"/>
    <dgm:cxn modelId="{D3F4D8B3-4B0B-4DB8-847D-B57ABDC90AC3}" type="presParOf" srcId="{4C1030C1-F351-4742-AD54-C7FC28647D9F}" destId="{3EB54D44-CAA1-4A9B-8082-CC36C551BE75}" srcOrd="2" destOrd="0" presId="urn:microsoft.com/office/officeart/2008/layout/AlternatingHexagons"/>
    <dgm:cxn modelId="{D7A29CCF-099E-4B08-8668-EEE9574A8F17}" type="presParOf" srcId="{4C1030C1-F351-4742-AD54-C7FC28647D9F}" destId="{66FC2FD7-3248-4E9B-AC60-88E53E67414A}" srcOrd="3" destOrd="0" presId="urn:microsoft.com/office/officeart/2008/layout/AlternatingHexagons"/>
    <dgm:cxn modelId="{C1374235-D31C-4B53-8A0E-B35F7BE0B3D0}" type="presParOf" srcId="{4C1030C1-F351-4742-AD54-C7FC28647D9F}" destId="{575101D9-C1F7-4842-981F-95076916A8FA}" srcOrd="4" destOrd="0" presId="urn:microsoft.com/office/officeart/2008/layout/AlternatingHexagons"/>
    <dgm:cxn modelId="{3A206A60-AB2F-4845-B774-846DB0EAFDED}" type="presParOf" srcId="{9A761B1F-0C7A-43D3-82A2-E3760EF527E0}" destId="{DB0CF91F-B617-4290-8D69-951DFD3FF159}" srcOrd="1" destOrd="0" presId="urn:microsoft.com/office/officeart/2008/layout/AlternatingHexagons"/>
    <dgm:cxn modelId="{0999AE99-7681-44C4-B8EB-F1FFB390870A}" type="presParOf" srcId="{9A761B1F-0C7A-43D3-82A2-E3760EF527E0}" destId="{CE164D12-DA98-422C-915C-8598F57DE7C2}" srcOrd="2" destOrd="0" presId="urn:microsoft.com/office/officeart/2008/layout/AlternatingHexagons"/>
    <dgm:cxn modelId="{47A5DB8A-3415-4C30-B062-7A1D18B76498}" type="presParOf" srcId="{CE164D12-DA98-422C-915C-8598F57DE7C2}" destId="{8BACA95F-AC8B-40FD-A2B4-A79D5DBFC101}" srcOrd="0" destOrd="0" presId="urn:microsoft.com/office/officeart/2008/layout/AlternatingHexagons"/>
    <dgm:cxn modelId="{EBD5D9C3-7026-4F57-9EBC-B81BA0A1F89F}" type="presParOf" srcId="{CE164D12-DA98-422C-915C-8598F57DE7C2}" destId="{0DFE5646-DA28-4ACE-B8F5-1C4CF4C6A01C}" srcOrd="1" destOrd="0" presId="urn:microsoft.com/office/officeart/2008/layout/AlternatingHexagons"/>
    <dgm:cxn modelId="{41C177C2-FB7E-4054-B436-F1863FE7528C}" type="presParOf" srcId="{CE164D12-DA98-422C-915C-8598F57DE7C2}" destId="{6A2CA265-23FF-410D-A2EB-6D2469FC9B29}" srcOrd="2" destOrd="0" presId="urn:microsoft.com/office/officeart/2008/layout/AlternatingHexagons"/>
    <dgm:cxn modelId="{76DB9D32-5DB2-4F08-B4E5-F1EE2CD9E4A1}" type="presParOf" srcId="{CE164D12-DA98-422C-915C-8598F57DE7C2}" destId="{7D971841-7AF1-4460-9B07-19984B2749E0}" srcOrd="3" destOrd="0" presId="urn:microsoft.com/office/officeart/2008/layout/AlternatingHexagons"/>
    <dgm:cxn modelId="{878B1644-0A0D-476D-868C-6CF9F110C078}" type="presParOf" srcId="{CE164D12-DA98-422C-915C-8598F57DE7C2}" destId="{A6643F7C-050C-4D3B-8E2D-A21FCC6548C5}" srcOrd="4" destOrd="0" presId="urn:microsoft.com/office/officeart/2008/layout/AlternatingHexagon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5DC30-4EFB-4A88-BFCD-E56C37FD8BF0}">
      <dsp:nvSpPr>
        <dsp:cNvPr id="0" name=""/>
        <dsp:cNvSpPr/>
      </dsp:nvSpPr>
      <dsp:spPr>
        <a:xfrm rot="5400000">
          <a:off x="2482308" y="96429"/>
          <a:ext cx="1472708" cy="1281256"/>
        </a:xfrm>
        <a:prstGeom prst="hexagon">
          <a:avLst>
            <a:gd name="adj" fmla="val 25000"/>
            <a:gd name="vf" fmla="val 11547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kern="1200">
              <a:solidFill>
                <a:schemeClr val="bg1"/>
              </a:solidFill>
              <a:latin typeface="Helvetica" panose="020B0604020202020204" pitchFamily="34" charset="0"/>
              <a:cs typeface="Helvetica" panose="020B0604020202020204" pitchFamily="34" charset="0"/>
            </a:rPr>
            <a:t>26th largest global exporter of natural and cultured pearls and precious metals</a:t>
          </a:r>
        </a:p>
      </dsp:txBody>
      <dsp:txXfrm rot="-5400000">
        <a:off x="2777696" y="230200"/>
        <a:ext cx="881932" cy="1013714"/>
      </dsp:txXfrm>
    </dsp:sp>
    <dsp:sp modelId="{2D54F8CB-E164-4798-82EB-4D290E4CE804}">
      <dsp:nvSpPr>
        <dsp:cNvPr id="0" name=""/>
        <dsp:cNvSpPr/>
      </dsp:nvSpPr>
      <dsp:spPr>
        <a:xfrm>
          <a:off x="3898170" y="295244"/>
          <a:ext cx="1643542" cy="883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b="0" i="0" kern="1200">
              <a:solidFill>
                <a:sysClr val="windowText" lastClr="000000"/>
              </a:solidFill>
              <a:latin typeface="Helvetica" panose="020B0604020202020204" pitchFamily="34" charset="0"/>
              <a:cs typeface="Helvetica" panose="020B0604020202020204" pitchFamily="34" charset="0"/>
            </a:rPr>
            <a:t>Ghana's exports represent 0.1</a:t>
          </a:r>
          <a:r>
            <a:rPr lang="en-ZA" sz="800" b="1" i="0" kern="1200">
              <a:solidFill>
                <a:sysClr val="windowText" lastClr="000000"/>
              </a:solidFill>
              <a:latin typeface="Helvetica" panose="020B0604020202020204" pitchFamily="34" charset="0"/>
              <a:cs typeface="Helvetica" panose="020B0604020202020204" pitchFamily="34" charset="0"/>
            </a:rPr>
            <a:t>%</a:t>
          </a:r>
          <a:r>
            <a:rPr lang="en-ZA" sz="800" b="0" i="0" kern="1200">
              <a:solidFill>
                <a:sysClr val="windowText" lastClr="000000"/>
              </a:solidFill>
              <a:latin typeface="Helvetica" panose="020B0604020202020204" pitchFamily="34" charset="0"/>
              <a:cs typeface="Helvetica" panose="020B0604020202020204" pitchFamily="34" charset="0"/>
            </a:rPr>
            <a:t> of world exports and it is ranked 81st in global exports </a:t>
          </a:r>
          <a:endParaRPr lang="en-ZA" sz="800" kern="1200">
            <a:solidFill>
              <a:sysClr val="windowText" lastClr="000000"/>
            </a:solidFill>
            <a:latin typeface="Helvetica" panose="020B0604020202020204" pitchFamily="34" charset="0"/>
            <a:cs typeface="Helvetica" panose="020B0604020202020204" pitchFamily="34" charset="0"/>
          </a:endParaRPr>
        </a:p>
      </dsp:txBody>
      <dsp:txXfrm>
        <a:off x="3898170" y="295244"/>
        <a:ext cx="1643542" cy="883625"/>
      </dsp:txXfrm>
    </dsp:sp>
    <dsp:sp modelId="{575101D9-C1F7-4842-981F-95076916A8FA}">
      <dsp:nvSpPr>
        <dsp:cNvPr id="0" name=""/>
        <dsp:cNvSpPr/>
      </dsp:nvSpPr>
      <dsp:spPr>
        <a:xfrm rot="5400000">
          <a:off x="1098551" y="96429"/>
          <a:ext cx="1472708" cy="1281256"/>
        </a:xfrm>
        <a:prstGeom prst="hexagon">
          <a:avLst>
            <a:gd name="adj" fmla="val 25000"/>
            <a:gd name="vf" fmla="val 11547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ZA" sz="1000" kern="1200">
              <a:solidFill>
                <a:schemeClr val="bg1"/>
              </a:solidFill>
              <a:latin typeface="Helvetica" panose="020B0604020202020204" pitchFamily="34" charset="0"/>
              <a:cs typeface="Helvetica" panose="020B0604020202020204" pitchFamily="34" charset="0"/>
            </a:rPr>
            <a:t>Sixth largest global exporter of cocoa and cocoa preperations</a:t>
          </a:r>
        </a:p>
      </dsp:txBody>
      <dsp:txXfrm rot="-5400000">
        <a:off x="1393939" y="230200"/>
        <a:ext cx="881932" cy="1013714"/>
      </dsp:txXfrm>
    </dsp:sp>
    <dsp:sp modelId="{8BACA95F-AC8B-40FD-A2B4-A79D5DBFC101}">
      <dsp:nvSpPr>
        <dsp:cNvPr id="0" name=""/>
        <dsp:cNvSpPr/>
      </dsp:nvSpPr>
      <dsp:spPr>
        <a:xfrm rot="5400000">
          <a:off x="1787778" y="1346464"/>
          <a:ext cx="1472708" cy="1281256"/>
        </a:xfrm>
        <a:prstGeom prst="hexagon">
          <a:avLst>
            <a:gd name="adj" fmla="val 25000"/>
            <a:gd name="vf" fmla="val 11547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kern="1200">
              <a:solidFill>
                <a:schemeClr val="bg1"/>
              </a:solidFill>
              <a:latin typeface="Helvetica" panose="020B0604020202020204" pitchFamily="34" charset="0"/>
              <a:cs typeface="Helvetica" panose="020B0604020202020204" pitchFamily="34" charset="0"/>
            </a:rPr>
            <a:t>10th largest importer of feathers and down.</a:t>
          </a:r>
        </a:p>
      </dsp:txBody>
      <dsp:txXfrm rot="-5400000">
        <a:off x="2083166" y="1480235"/>
        <a:ext cx="881932" cy="1013714"/>
      </dsp:txXfrm>
    </dsp:sp>
    <dsp:sp modelId="{0DFE5646-DA28-4ACE-B8F5-1C4CF4C6A01C}">
      <dsp:nvSpPr>
        <dsp:cNvPr id="0" name=""/>
        <dsp:cNvSpPr/>
      </dsp:nvSpPr>
      <dsp:spPr>
        <a:xfrm>
          <a:off x="239962" y="1545279"/>
          <a:ext cx="1590525" cy="883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solidFill>
              <a:latin typeface="Helvetica" panose="020B0604020202020204" pitchFamily="34" charset="0"/>
              <a:cs typeface="Helvetica" panose="020B0604020202020204" pitchFamily="34" charset="0"/>
            </a:rPr>
            <a:t>Ghana accounts for 0.1% of global imports, ranking it the 82nd largest global importer</a:t>
          </a:r>
          <a:br>
            <a:rPr lang="en-ZA" sz="800" kern="1200">
              <a:solidFill>
                <a:sysClr val="windowText" lastClr="000000"/>
              </a:solidFill>
              <a:latin typeface="Helvetica" panose="020B0604020202020204" pitchFamily="34" charset="0"/>
              <a:cs typeface="Helvetica" panose="020B0604020202020204" pitchFamily="34" charset="0"/>
            </a:rPr>
          </a:br>
          <a:endParaRPr lang="en-ZA" sz="800" kern="1200">
            <a:solidFill>
              <a:sysClr val="windowText" lastClr="000000"/>
            </a:solidFill>
            <a:latin typeface="Helvetica" panose="020B0604020202020204" pitchFamily="34" charset="0"/>
            <a:cs typeface="Helvetica" panose="020B0604020202020204" pitchFamily="34" charset="0"/>
          </a:endParaRPr>
        </a:p>
      </dsp:txBody>
      <dsp:txXfrm>
        <a:off x="239962" y="1545279"/>
        <a:ext cx="1590525" cy="883625"/>
      </dsp:txXfrm>
    </dsp:sp>
    <dsp:sp modelId="{A6643F7C-050C-4D3B-8E2D-A21FCC6548C5}">
      <dsp:nvSpPr>
        <dsp:cNvPr id="0" name=""/>
        <dsp:cNvSpPr/>
      </dsp:nvSpPr>
      <dsp:spPr>
        <a:xfrm rot="5400000">
          <a:off x="3171535" y="1346464"/>
          <a:ext cx="1472708" cy="1281256"/>
        </a:xfrm>
        <a:prstGeom prst="hexagon">
          <a:avLst>
            <a:gd name="adj" fmla="val 25000"/>
            <a:gd name="vf" fmla="val 11547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ZA" sz="1000" kern="1200">
              <a:solidFill>
                <a:schemeClr val="bg1"/>
              </a:solidFill>
              <a:latin typeface="Helvetica" panose="020B0604020202020204" pitchFamily="34" charset="0"/>
              <a:cs typeface="Helvetica" panose="020B0604020202020204" pitchFamily="34" charset="0"/>
            </a:rPr>
            <a:t>33rd largest global importer of explosives and pyrotechnic products.</a:t>
          </a:r>
        </a:p>
      </dsp:txBody>
      <dsp:txXfrm rot="-5400000">
        <a:off x="3466923" y="1480235"/>
        <a:ext cx="881932" cy="1013714"/>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DC845-16A9-4C0F-BC44-61D0752C3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29</Pages>
  <Words>7276</Words>
  <Characters>41475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Riefad.Davids</dc:creator>
  <cp:keywords/>
  <dc:description/>
  <cp:lastModifiedBy>Emmanuel Baidoo</cp:lastModifiedBy>
  <cp:revision>25</cp:revision>
  <cp:lastPrinted>2021-09-20T07:17:00Z</cp:lastPrinted>
  <dcterms:created xsi:type="dcterms:W3CDTF">2021-11-07T03:22:00Z</dcterms:created>
  <dcterms:modified xsi:type="dcterms:W3CDTF">2021-11-07T16:39:00Z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1548028860</vt:i4>
  </property>
</Properties>
</file>